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19"/>
        </w:tabs>
        <w:spacing w:line="1221" w:lineRule="exact"/>
        <w:ind w:right="77"/>
        <w:jc w:val="center"/>
        <w:rPr>
          <w:rFonts w:ascii="微软雅黑"/>
          <w:color w:val="auto"/>
          <w:sz w:val="72"/>
        </w:rPr>
      </w:pPr>
      <w:r>
        <w:rPr>
          <w:rFonts w:hint="eastAsia" w:ascii="微软雅黑" w:cs="宋体"/>
          <w:color w:val="auto"/>
          <w:sz w:val="72"/>
        </w:rPr>
        <w:t>教 学 简 报</w:t>
      </w:r>
    </w:p>
    <w:p>
      <w:pPr>
        <w:autoSpaceDE w:val="0"/>
        <w:autoSpaceDN w:val="0"/>
        <w:spacing w:before="61"/>
        <w:ind w:right="76"/>
        <w:jc w:val="center"/>
        <w:outlineLvl w:val="0"/>
        <w:rPr>
          <w:color w:val="auto"/>
        </w:rPr>
      </w:pPr>
      <w:r>
        <w:rPr>
          <w:rFonts w:hint="eastAsia" w:ascii="楷体" w:hAnsi="楷体" w:eastAsia="楷体" w:cs="仿宋_GB2312"/>
          <w:b/>
          <w:bCs/>
          <w:color w:val="auto"/>
          <w:sz w:val="32"/>
          <w:szCs w:val="32"/>
          <w:lang w:val="zh-CN" w:bidi="zh-CN"/>
        </w:rPr>
        <w:t>（2021-2022-1学期第</w:t>
      </w:r>
      <w:r>
        <w:rPr>
          <w:rFonts w:hint="eastAsia" w:ascii="楷体" w:hAnsi="楷体" w:eastAsia="楷体" w:cs="仿宋_GB2312"/>
          <w:b/>
          <w:bCs/>
          <w:color w:val="auto"/>
          <w:sz w:val="32"/>
          <w:szCs w:val="32"/>
          <w:lang w:val="en-US" w:bidi="zh-CN"/>
        </w:rPr>
        <w:t>13</w:t>
      </w:r>
      <w:r>
        <w:rPr>
          <w:rFonts w:hint="eastAsia" w:ascii="楷体" w:hAnsi="楷体" w:eastAsia="楷体" w:cs="仿宋_GB2312"/>
          <w:b/>
          <w:bCs/>
          <w:color w:val="auto"/>
          <w:sz w:val="32"/>
          <w:szCs w:val="32"/>
          <w:lang w:bidi="zh-CN"/>
        </w:rPr>
        <w:t>-1</w:t>
      </w:r>
      <w:r>
        <w:rPr>
          <w:rFonts w:hint="eastAsia" w:ascii="楷体" w:hAnsi="楷体" w:eastAsia="楷体" w:cs="仿宋_GB2312"/>
          <w:b/>
          <w:bCs/>
          <w:color w:val="auto"/>
          <w:sz w:val="32"/>
          <w:szCs w:val="32"/>
          <w:lang w:val="en-US" w:bidi="zh-CN"/>
        </w:rPr>
        <w:t>6</w:t>
      </w:r>
      <w:r>
        <w:rPr>
          <w:rFonts w:hint="eastAsia" w:ascii="楷体" w:hAnsi="楷体" w:eastAsia="楷体" w:cs="仿宋_GB2312"/>
          <w:b/>
          <w:bCs/>
          <w:color w:val="auto"/>
          <w:sz w:val="32"/>
          <w:szCs w:val="32"/>
          <w:lang w:val="zh-CN" w:bidi="zh-CN"/>
        </w:rPr>
        <w:t>周）</w:t>
      </w:r>
    </w:p>
    <w:p>
      <w:pPr>
        <w:numPr>
          <w:ilvl w:val="0"/>
          <w:numId w:val="1"/>
        </w:numPr>
        <w:autoSpaceDE w:val="0"/>
        <w:autoSpaceDN w:val="0"/>
        <w:spacing w:line="365" w:lineRule="auto"/>
        <w:ind w:firstLine="643" w:firstLineChars="200"/>
        <w:rPr>
          <w:rFonts w:ascii="黑体" w:hAnsi="黑体" w:eastAsia="黑体" w:cs="黑体"/>
          <w:b/>
          <w:color w:val="auto"/>
          <w:sz w:val="32"/>
          <w:szCs w:val="32"/>
          <w:lang w:val="zh-CN" w:bidi="zh-CN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  <w:lang w:val="zh-CN" w:bidi="zh-CN"/>
        </w:rPr>
        <w:t>教学管理情况</w:t>
      </w:r>
    </w:p>
    <w:p>
      <w:pPr>
        <w:numPr>
          <w:ilvl w:val="0"/>
          <w:numId w:val="2"/>
        </w:numPr>
        <w:autoSpaceDE w:val="0"/>
        <w:autoSpaceDN w:val="0"/>
        <w:spacing w:line="365" w:lineRule="auto"/>
        <w:ind w:firstLine="643" w:firstLineChars="200"/>
        <w:outlineLvl w:val="0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zh-CN" w:bidi="zh-CN"/>
        </w:rPr>
        <w:t>教务处工作情况</w:t>
      </w:r>
    </w:p>
    <w:p>
      <w:pPr>
        <w:numPr>
          <w:ilvl w:val="0"/>
          <w:numId w:val="0"/>
        </w:numPr>
        <w:spacing w:line="365" w:lineRule="auto"/>
        <w:ind w:left="638" w:leftChars="304" w:firstLine="0" w:firstLineChars="0"/>
        <w:jc w:val="lef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color w:val="auto"/>
          <w:sz w:val="32"/>
          <w:szCs w:val="32"/>
        </w:rPr>
        <w:t>完成期末考试学院组考科目试卷印制；</w:t>
      </w:r>
    </w:p>
    <w:p>
      <w:pPr>
        <w:numPr>
          <w:ilvl w:val="0"/>
          <w:numId w:val="0"/>
        </w:numPr>
        <w:spacing w:line="365" w:lineRule="auto"/>
        <w:ind w:left="638" w:leftChars="304" w:firstLine="0" w:firstLineChars="0"/>
        <w:jc w:val="lef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2.完成2021-2022-1学期期末考试安排相关工作；</w:t>
      </w:r>
    </w:p>
    <w:p>
      <w:pPr>
        <w:numPr>
          <w:ilvl w:val="0"/>
          <w:numId w:val="0"/>
        </w:numPr>
        <w:spacing w:line="365" w:lineRule="auto"/>
        <w:ind w:left="638" w:leftChars="304" w:firstLine="0" w:firstLineChars="0"/>
        <w:jc w:val="lef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3.组织完成大学英语四六级考务工作；</w:t>
      </w:r>
    </w:p>
    <w:p>
      <w:pPr>
        <w:numPr>
          <w:ilvl w:val="0"/>
          <w:numId w:val="0"/>
        </w:numPr>
        <w:spacing w:line="365" w:lineRule="auto"/>
        <w:ind w:left="638" w:leftChars="304" w:firstLine="0" w:firstLineChars="0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4.完成2021年度湖南省土建工程专业职称考试相关工作；</w:t>
      </w:r>
    </w:p>
    <w:p>
      <w:pPr>
        <w:numPr>
          <w:ilvl w:val="0"/>
          <w:numId w:val="0"/>
        </w:numPr>
        <w:spacing w:line="365" w:lineRule="auto"/>
        <w:ind w:left="638" w:leftChars="304" w:firstLine="0" w:firstLineChars="0"/>
        <w:jc w:val="lef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5.2020年招生工作总结、制定2022年招生工作计划；</w:t>
      </w:r>
    </w:p>
    <w:p>
      <w:pPr>
        <w:numPr>
          <w:ilvl w:val="0"/>
          <w:numId w:val="0"/>
        </w:numPr>
        <w:spacing w:line="365" w:lineRule="auto"/>
        <w:ind w:left="638" w:leftChars="304" w:firstLine="0" w:firstLineChars="0"/>
        <w:jc w:val="lef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6.2020级、2021级招生办学生身份复查和核验工作；</w:t>
      </w:r>
      <w:bookmarkStart w:id="0" w:name="_GoBack"/>
      <w:bookmarkEnd w:id="0"/>
    </w:p>
    <w:p>
      <w:pPr>
        <w:numPr>
          <w:ilvl w:val="0"/>
          <w:numId w:val="0"/>
        </w:numPr>
        <w:spacing w:line="365" w:lineRule="auto"/>
        <w:ind w:left="638" w:leftChars="304" w:firstLine="0" w:firstLineChars="0"/>
        <w:jc w:val="lef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7.2021年招生数据资料的整理工作；</w:t>
      </w:r>
    </w:p>
    <w:p>
      <w:pPr>
        <w:numPr>
          <w:ilvl w:val="0"/>
          <w:numId w:val="0"/>
        </w:numPr>
        <w:spacing w:line="365" w:lineRule="auto"/>
        <w:ind w:left="638" w:leftChars="304" w:firstLine="0" w:firstLineChars="0"/>
        <w:jc w:val="lef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提出排课超级权限需求，并督促强智公司完成超级排课权限功能；</w:t>
      </w:r>
    </w:p>
    <w:p>
      <w:pPr>
        <w:numPr>
          <w:ilvl w:val="0"/>
          <w:numId w:val="0"/>
        </w:numPr>
        <w:spacing w:line="365" w:lineRule="auto"/>
        <w:ind w:left="638" w:leftChars="304" w:firstLine="0" w:firstLineChars="0"/>
        <w:jc w:val="lef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9.与体育学院协调做《大学体育（二）》、《大学体育（四）》、《大学体育（六）》的数据；</w:t>
      </w:r>
    </w:p>
    <w:p>
      <w:pPr>
        <w:numPr>
          <w:ilvl w:val="0"/>
          <w:numId w:val="0"/>
        </w:numPr>
        <w:spacing w:line="365" w:lineRule="auto"/>
        <w:ind w:left="638" w:leftChars="304" w:firstLine="0" w:firstLineChars="0"/>
        <w:jc w:val="lef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10.预排完主校区和雷锋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校区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的所有课表，对于不符合教学规律的课表或者有差错的课表进行调整；</w:t>
      </w:r>
    </w:p>
    <w:p>
      <w:pPr>
        <w:numPr>
          <w:ilvl w:val="0"/>
          <w:numId w:val="0"/>
        </w:numPr>
        <w:spacing w:line="365" w:lineRule="auto"/>
        <w:ind w:left="638" w:leftChars="304" w:firstLine="0" w:firstLineChars="0"/>
        <w:jc w:val="lef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11.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提出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选课功能完善的需求，限制上课校区，做出主校区学生只能选主校区的课、雷锋校区的学生只能选雷锋校区课的功能；</w:t>
      </w:r>
    </w:p>
    <w:p>
      <w:pPr>
        <w:numPr>
          <w:ilvl w:val="0"/>
          <w:numId w:val="0"/>
        </w:numPr>
        <w:spacing w:line="365" w:lineRule="auto"/>
        <w:ind w:left="638" w:leftChars="304" w:firstLine="0" w:firstLineChars="0"/>
        <w:jc w:val="lef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12.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发放2020-2021学年课堂教学质量考核“优质课程”荣誉证书；</w:t>
      </w:r>
    </w:p>
    <w:p>
      <w:pPr>
        <w:numPr>
          <w:ilvl w:val="0"/>
          <w:numId w:val="0"/>
        </w:numPr>
        <w:spacing w:line="365" w:lineRule="auto"/>
        <w:ind w:left="638" w:leftChars="304" w:firstLine="0" w:firstLineChars="0"/>
        <w:jc w:val="lef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13.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发放2020-2021学年优秀学业指导老师荣誉证书；</w:t>
      </w:r>
    </w:p>
    <w:p>
      <w:pPr>
        <w:numPr>
          <w:ilvl w:val="0"/>
          <w:numId w:val="0"/>
        </w:numPr>
        <w:spacing w:line="365" w:lineRule="auto"/>
        <w:ind w:left="638" w:leftChars="304" w:firstLine="0" w:firstLineChars="0"/>
        <w:jc w:val="lef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14.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发放2020-2021学年先进信息员荣誉证书；</w:t>
      </w:r>
    </w:p>
    <w:p>
      <w:pPr>
        <w:numPr>
          <w:ilvl w:val="0"/>
          <w:numId w:val="0"/>
        </w:numPr>
        <w:spacing w:line="365" w:lineRule="auto"/>
        <w:ind w:left="638" w:leftChars="304" w:firstLine="0" w:firstLineChars="0"/>
        <w:jc w:val="lef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15.开展本学期信息员教学信息反馈工作；</w:t>
      </w:r>
    </w:p>
    <w:p>
      <w:pPr>
        <w:numPr>
          <w:ilvl w:val="0"/>
          <w:numId w:val="0"/>
        </w:numPr>
        <w:spacing w:line="365" w:lineRule="auto"/>
        <w:ind w:left="638" w:leftChars="304" w:firstLine="0" w:firstLineChars="0"/>
        <w:jc w:val="lef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16.收集2021年本科教学教师获奖奖励项目。</w:t>
      </w:r>
    </w:p>
    <w:p>
      <w:pPr>
        <w:widowControl/>
        <w:adjustRightInd w:val="0"/>
        <w:snapToGrid w:val="0"/>
        <w:spacing w:line="365" w:lineRule="auto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zh-CN" w:bidi="zh-CN"/>
        </w:rPr>
        <w:t>(二)常规教学检查情况</w:t>
      </w:r>
    </w:p>
    <w:p>
      <w:pPr>
        <w:widowControl/>
        <w:adjustRightInd w:val="0"/>
        <w:snapToGrid w:val="0"/>
        <w:spacing w:line="365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bidi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bidi="zh-CN"/>
        </w:rPr>
        <w:t>通过第13-16周的教学常规检查发现我校整体的教学情况良好。大部分教师均能够做到按时到课，且上课精神状态饱满；教师能够严格按照学校规定的备课要求去做，课时备课比较详细，内容详尽充实，课堂上师生互动积极，体现了高效课堂理念。</w:t>
      </w:r>
    </w:p>
    <w:p>
      <w:pPr>
        <w:autoSpaceDE w:val="0"/>
        <w:autoSpaceDN w:val="0"/>
        <w:spacing w:line="365" w:lineRule="auto"/>
        <w:ind w:firstLine="640" w:firstLineChars="200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bidi="zh-CN"/>
        </w:rPr>
        <w:t>不足与建议：1.天气渐冷，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bidi="zh-CN"/>
        </w:rPr>
        <w:t>学生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bidi="zh-CN"/>
        </w:rPr>
        <w:t>迟到、逃课现象日渐加重，建议辅导员和老师加强班级学风建设，鼓励同学们认真备考本学期的期末考试，在班级中形成良好的学习氛围，诚信参考。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bidi="zh-CN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bidi="zh-CN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部分教师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未在教务系统内调课就私自变换时间和地点进行了随堂考试，也未报备，导致巡教人员查课出现无人上课的情况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bidi="zh-CN"/>
        </w:rPr>
        <w:t>.学生在课堂上玩手机的现象依然比较严重，上课注意力不够集中，课堂纪律较为松懈，尤其后排上课同学课堂参与度不高，建议教师多关注后排学生上课状态，利用适当方法调动学生的上课积极性。</w:t>
      </w:r>
      <w:r>
        <w:rPr>
          <w:rFonts w:hint="eastAsia" w:ascii="仿宋_GB2312" w:eastAsia="仿宋_GB2312"/>
          <w:color w:val="auto"/>
          <w:sz w:val="32"/>
          <w:szCs w:val="32"/>
        </w:rPr>
        <w:t>4.在教学检查中，发现大部分的教室上课时门窗紧闭，导致教室内空气流通不畅，学生上课精神不佳，建议教师、同学们在注意保暖的同时，适当打开教室门窗。</w:t>
      </w:r>
    </w:p>
    <w:p>
      <w:pPr>
        <w:ind w:firstLine="1680" w:firstLineChars="600"/>
        <w:rPr>
          <w:rFonts w:ascii="黑体" w:hAnsi="黑体" w:eastAsia="黑体"/>
          <w:color w:val="auto"/>
          <w:sz w:val="28"/>
          <w:szCs w:val="28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表一 :第</w:t>
      </w:r>
      <w:r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  <w:t>13</w:t>
      </w:r>
      <w:r>
        <w:rPr>
          <w:rFonts w:hint="eastAsia" w:ascii="黑体" w:hAnsi="黑体" w:eastAsia="黑体"/>
          <w:color w:val="auto"/>
          <w:sz w:val="28"/>
          <w:szCs w:val="28"/>
        </w:rPr>
        <w:t>-1</w:t>
      </w:r>
      <w:r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/>
          <w:color w:val="auto"/>
          <w:sz w:val="28"/>
          <w:szCs w:val="28"/>
        </w:rPr>
        <w:t>周常规教学检查情况一览表</w:t>
      </w:r>
    </w:p>
    <w:tbl>
      <w:tblPr>
        <w:tblStyle w:val="2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5"/>
        <w:gridCol w:w="806"/>
        <w:gridCol w:w="1179"/>
        <w:gridCol w:w="999"/>
        <w:gridCol w:w="1333"/>
        <w:gridCol w:w="1053"/>
        <w:gridCol w:w="1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4502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定期检查</w:t>
            </w:r>
          </w:p>
        </w:tc>
        <w:tc>
          <w:tcPr>
            <w:tcW w:w="4394" w:type="dxa"/>
            <w:gridSpan w:val="4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不定期检查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检查人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应查次数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检查次数</w:t>
            </w:r>
          </w:p>
        </w:tc>
        <w:tc>
          <w:tcPr>
            <w:tcW w:w="117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备注</w:t>
            </w:r>
          </w:p>
        </w:tc>
        <w:tc>
          <w:tcPr>
            <w:tcW w:w="99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检查人</w:t>
            </w:r>
          </w:p>
        </w:tc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应查次数</w:t>
            </w:r>
          </w:p>
        </w:tc>
        <w:tc>
          <w:tcPr>
            <w:tcW w:w="105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检查次数</w:t>
            </w:r>
          </w:p>
        </w:tc>
        <w:tc>
          <w:tcPr>
            <w:tcW w:w="10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翟  琴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8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</w:t>
            </w:r>
          </w:p>
        </w:tc>
        <w:tc>
          <w:tcPr>
            <w:tcW w:w="117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</w:pPr>
          </w:p>
        </w:tc>
        <w:tc>
          <w:tcPr>
            <w:tcW w:w="99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傅佳</w:t>
            </w:r>
          </w:p>
        </w:tc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</w:t>
            </w:r>
          </w:p>
        </w:tc>
        <w:tc>
          <w:tcPr>
            <w:tcW w:w="105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10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张洁婷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8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117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99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肖燕飞</w:t>
            </w:r>
          </w:p>
        </w:tc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</w:t>
            </w:r>
          </w:p>
        </w:tc>
        <w:tc>
          <w:tcPr>
            <w:tcW w:w="105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10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戴  亮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8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117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99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杨鹏</w:t>
            </w:r>
          </w:p>
        </w:tc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</w:t>
            </w:r>
          </w:p>
        </w:tc>
        <w:tc>
          <w:tcPr>
            <w:tcW w:w="105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10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高小平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8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117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99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刘胜宗</w:t>
            </w:r>
          </w:p>
        </w:tc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</w:t>
            </w:r>
          </w:p>
        </w:tc>
        <w:tc>
          <w:tcPr>
            <w:tcW w:w="105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10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黄  祯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8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117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 xml:space="preserve">               </w:t>
            </w:r>
          </w:p>
        </w:tc>
        <w:tc>
          <w:tcPr>
            <w:tcW w:w="99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5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陈志霞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8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117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99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5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唐  甜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8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8</w:t>
            </w:r>
          </w:p>
        </w:tc>
        <w:tc>
          <w:tcPr>
            <w:tcW w:w="117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99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5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荣建荣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8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117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99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5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刘  丽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8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117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99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5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文柳懿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8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117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99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5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童  静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8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117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99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5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吴岳峰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7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雷锋学院</w:t>
            </w:r>
          </w:p>
        </w:tc>
        <w:tc>
          <w:tcPr>
            <w:tcW w:w="99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5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赵  丽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8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</w:t>
            </w:r>
          </w:p>
        </w:tc>
        <w:tc>
          <w:tcPr>
            <w:tcW w:w="117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9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5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赖小红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8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2 </w:t>
            </w:r>
          </w:p>
        </w:tc>
        <w:tc>
          <w:tcPr>
            <w:tcW w:w="117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auto"/>
                <w:sz w:val="24"/>
                <w:lang w:val="en-US" w:eastAsia="zh-CN"/>
              </w:rPr>
            </w:pPr>
          </w:p>
        </w:tc>
        <w:tc>
          <w:tcPr>
            <w:tcW w:w="99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5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蔡奕帆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8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117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99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5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钱毅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8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8</w:t>
            </w:r>
          </w:p>
        </w:tc>
        <w:tc>
          <w:tcPr>
            <w:tcW w:w="117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99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5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李民栋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7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雷锋学院</w:t>
            </w:r>
          </w:p>
        </w:tc>
        <w:tc>
          <w:tcPr>
            <w:tcW w:w="99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5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张雄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8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8</w:t>
            </w:r>
          </w:p>
        </w:tc>
        <w:tc>
          <w:tcPr>
            <w:tcW w:w="117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99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5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陈波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8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8</w:t>
            </w:r>
          </w:p>
        </w:tc>
        <w:tc>
          <w:tcPr>
            <w:tcW w:w="117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99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5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贺文静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8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8</w:t>
            </w:r>
          </w:p>
        </w:tc>
        <w:tc>
          <w:tcPr>
            <w:tcW w:w="117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99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5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王  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8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8</w:t>
            </w:r>
          </w:p>
        </w:tc>
        <w:tc>
          <w:tcPr>
            <w:tcW w:w="117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99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5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合   计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ascii="宋体" w:hAnsi="宋体"/>
                <w:b/>
                <w:color w:val="auto"/>
                <w:sz w:val="24"/>
              </w:rPr>
              <w:fldChar w:fldCharType="begin"/>
            </w:r>
            <w:r>
              <w:rPr>
                <w:rFonts w:ascii="宋体" w:hAnsi="宋体"/>
                <w:b/>
                <w:color w:val="auto"/>
                <w:sz w:val="24"/>
              </w:rPr>
              <w:instrText xml:space="preserve"> =SUM(ABOVE) </w:instrText>
            </w:r>
            <w:r>
              <w:rPr>
                <w:rFonts w:ascii="宋体" w:hAnsi="宋体"/>
                <w:b/>
                <w:color w:val="auto"/>
                <w:sz w:val="24"/>
              </w:rPr>
              <w:fldChar w:fldCharType="separate"/>
            </w:r>
            <w:r>
              <w:rPr>
                <w:rFonts w:ascii="宋体" w:hAnsi="宋体"/>
                <w:b/>
                <w:color w:val="auto"/>
                <w:sz w:val="24"/>
              </w:rPr>
              <w:t>168</w:t>
            </w:r>
            <w:r>
              <w:rPr>
                <w:rFonts w:ascii="宋体" w:hAnsi="宋体"/>
                <w:b/>
                <w:color w:val="auto"/>
                <w:sz w:val="24"/>
              </w:rPr>
              <w:fldChar w:fldCharType="end"/>
            </w:r>
          </w:p>
        </w:tc>
        <w:tc>
          <w:tcPr>
            <w:tcW w:w="80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1</w:t>
            </w: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50</w:t>
            </w:r>
          </w:p>
        </w:tc>
        <w:tc>
          <w:tcPr>
            <w:tcW w:w="117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99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合计</w:t>
            </w:r>
          </w:p>
        </w:tc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105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100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</w:tr>
    </w:tbl>
    <w:p>
      <w:pPr>
        <w:numPr>
          <w:ilvl w:val="0"/>
          <w:numId w:val="1"/>
        </w:numPr>
        <w:autoSpaceDE w:val="0"/>
        <w:autoSpaceDN w:val="0"/>
        <w:spacing w:line="365" w:lineRule="auto"/>
        <w:ind w:left="0" w:leftChars="0" w:firstLine="643" w:firstLineChars="200"/>
        <w:rPr>
          <w:rFonts w:hint="eastAsia" w:ascii="黑体" w:hAnsi="黑体" w:eastAsia="黑体" w:cs="黑体"/>
          <w:b/>
          <w:color w:val="auto"/>
          <w:sz w:val="32"/>
          <w:szCs w:val="32"/>
          <w:lang w:val="zh-CN" w:bidi="zh-CN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  <w:lang w:val="zh-CN" w:bidi="zh-CN"/>
        </w:rPr>
        <w:t>二级学院教学活动及调停课情况</w:t>
      </w:r>
    </w:p>
    <w:p>
      <w:pPr>
        <w:numPr>
          <w:ilvl w:val="0"/>
          <w:numId w:val="3"/>
        </w:numPr>
        <w:autoSpaceDE w:val="0"/>
        <w:autoSpaceDN w:val="0"/>
        <w:spacing w:line="365" w:lineRule="auto"/>
        <w:ind w:firstLine="964" w:firstLineChars="300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zh-CN" w:bidi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bidi="zh-CN"/>
        </w:rPr>
        <w:t>13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bidi="zh-CN"/>
        </w:rPr>
        <w:t>-1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bidi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zh-CN" w:bidi="zh-CN"/>
        </w:rPr>
        <w:t>周教研活动及公开课情况</w:t>
      </w:r>
    </w:p>
    <w:p>
      <w:pPr>
        <w:spacing w:line="365" w:lineRule="auto"/>
        <w:ind w:right="79"/>
        <w:jc w:val="center"/>
        <w:rPr>
          <w:rFonts w:hint="eastAsia" w:ascii="黑体" w:hAnsi="黑体" w:eastAsia="黑体" w:cs="黑体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表二：第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  <w:t>13</w:t>
      </w:r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-1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周教研活动及公开课次数</w:t>
      </w:r>
    </w:p>
    <w:p>
      <w:pPr>
        <w:spacing w:line="365" w:lineRule="auto"/>
        <w:ind w:right="79"/>
        <w:jc w:val="center"/>
        <w:rPr>
          <w:rFonts w:hint="eastAsia" w:ascii="黑体" w:hAnsi="黑体" w:eastAsia="黑体" w:cs="黑体"/>
          <w:bCs/>
          <w:color w:val="auto"/>
          <w:sz w:val="28"/>
          <w:szCs w:val="28"/>
        </w:rPr>
      </w:pPr>
    </w:p>
    <w:tbl>
      <w:tblPr>
        <w:tblStyle w:val="2"/>
        <w:tblW w:w="92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2693"/>
        <w:gridCol w:w="1889"/>
        <w:gridCol w:w="21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教学单位</w:t>
            </w:r>
          </w:p>
        </w:tc>
        <w:tc>
          <w:tcPr>
            <w:tcW w:w="2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教研室</w:t>
            </w:r>
          </w:p>
        </w:tc>
        <w:tc>
          <w:tcPr>
            <w:tcW w:w="1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教研活动次数</w:t>
            </w:r>
          </w:p>
        </w:tc>
        <w:tc>
          <w:tcPr>
            <w:tcW w:w="21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公开课次数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24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会计学院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会计学系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ACCA教育中心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财务管理系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审计学系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会计实验中心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财政金融学院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金融学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财政学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税收学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投资学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工商管理学院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市场营销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人力资源管理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物流管理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管理教研室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工程管理学院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工程管理系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房地产系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工程造价系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土管系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城乡规划管理系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信息技术与管理学院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计算机科学与技术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电子商务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信息管理与信息系统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电子信息工程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数据科学与大数据技术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人工智能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外国语学院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商务英语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英语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翻译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2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日语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外籍教师教学管理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大学英语一</w:t>
            </w:r>
          </w:p>
        </w:tc>
        <w:tc>
          <w:tcPr>
            <w:tcW w:w="188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19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大学英语二</w:t>
            </w:r>
          </w:p>
        </w:tc>
        <w:tc>
          <w:tcPr>
            <w:tcW w:w="188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19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公共管理学院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劳动和社会保障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行政管理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法学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988"/>
              </w:tabs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988"/>
              </w:tabs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数学与统计学院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高等数学教学部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2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金融数学系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统计学系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人文与艺术学院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中文系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2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艺术教育中心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</w:p>
        </w:tc>
        <w:tc>
          <w:tcPr>
            <w:tcW w:w="2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网络与新媒体系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文化产业管理系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2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旅游管理系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</w:p>
        </w:tc>
        <w:tc>
          <w:tcPr>
            <w:tcW w:w="2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马克思主义学院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德育教研室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马克思主义理论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形势与政策教研室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体育学院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休闲体育系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大学体育部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24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体育经济与管理系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经济学院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国际经济与贸易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国际商务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商务经济学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厚生国际学院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国际教育教研室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学生工作部（处）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心理咨询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4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军事理论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合  计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－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64</w:t>
            </w:r>
          </w:p>
        </w:tc>
        <w:tc>
          <w:tcPr>
            <w:tcW w:w="2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9</w:t>
            </w:r>
          </w:p>
        </w:tc>
      </w:tr>
    </w:tbl>
    <w:p>
      <w:pPr>
        <w:numPr>
          <w:ilvl w:val="0"/>
          <w:numId w:val="0"/>
        </w:numPr>
        <w:spacing w:line="365" w:lineRule="auto"/>
        <w:ind w:firstLine="1285" w:firstLineChars="400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第</w:t>
      </w: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-1</w:t>
      </w: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周各系调停课情况</w:t>
      </w:r>
    </w:p>
    <w:p>
      <w:pPr>
        <w:widowControl/>
        <w:jc w:val="center"/>
        <w:textAlignment w:val="center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 xml:space="preserve">表三：第 </w:t>
      </w:r>
      <w:r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  <w:t>13</w:t>
      </w:r>
      <w:r>
        <w:rPr>
          <w:rFonts w:hint="eastAsia" w:ascii="黑体" w:hAnsi="黑体" w:eastAsia="黑体"/>
          <w:color w:val="auto"/>
          <w:sz w:val="28"/>
          <w:szCs w:val="28"/>
        </w:rPr>
        <w:t>-1</w:t>
      </w:r>
      <w:r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/>
          <w:color w:val="auto"/>
          <w:sz w:val="28"/>
          <w:szCs w:val="28"/>
        </w:rPr>
        <w:t>周各系调停课统计列表</w:t>
      </w:r>
    </w:p>
    <w:tbl>
      <w:tblPr>
        <w:tblStyle w:val="2"/>
        <w:tblW w:w="89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977"/>
        <w:gridCol w:w="979"/>
        <w:gridCol w:w="915"/>
        <w:gridCol w:w="470"/>
        <w:gridCol w:w="800"/>
        <w:gridCol w:w="840"/>
        <w:gridCol w:w="750"/>
        <w:gridCol w:w="9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院系名称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调课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人次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调课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学时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总学时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节次</w:t>
            </w:r>
          </w:p>
        </w:tc>
        <w:tc>
          <w:tcPr>
            <w:tcW w:w="2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调课率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总调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课率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因公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因事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因私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会计学系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4028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0.89%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0.20%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ACCA教育中心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2.55%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0.64%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3.18%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财务管理系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4164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0.77%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0.67%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1.63%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会计实验中心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0.43%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0.43%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审计学系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0.61%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0.28%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0.09%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1.03%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财政金融学院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5.00%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财政学系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2288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2.53%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1.49%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0.17%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4.20%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金融学系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3666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3.55%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0.38%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5.56%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投资学系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1834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4.03%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1.42%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7.52%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CFA&amp;amp;FRM教学中心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4.76%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4.76%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管理教研室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1.63%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2.21%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0.77%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4.70%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市场营销系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3122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2.50%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0.58%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物流管理系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2070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5.60%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0.68%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6.47%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人力资源管理系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2622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6.56%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0.08%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1.30%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10.98%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信息技术与管理学院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2804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1.36%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0.57%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0.43%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2.71%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信息管理与信息系统系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1.39%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1.39%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电子商务系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1948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1.03%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0.82%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0.21%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9006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0.20%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0.36%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0.07%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0.73%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电子信息工程系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2.96%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0.20%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3.78%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人工智能系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1.22%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1.83%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2.08%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2.08%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2622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2.21%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0.69%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0.15%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3.51%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行政管理系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1.40%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0.28%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1.68%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3.98%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3.41%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11.36%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3.57%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3.57%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4024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1.89%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0.60%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2.83%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大学英语一教学部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4604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0.70%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0.26%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1.35%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大学英语二教学部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4.17%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4.17%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翻译系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0.29%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日语系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1412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2.27%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3.12%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工程管理系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2478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4.04%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0.24%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4.60%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工程造价系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1846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1.19%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0.54%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2.60%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房地产系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1418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1.69%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0.28%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0.14%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2.26%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土地管理系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0.74%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0.74%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0.26%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中文系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1176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0.68%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0.68%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网络与新媒体系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1920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0.10%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0.10%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文化产业管理系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0.29%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0.88%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旅游管理系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0.25%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4.61%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4.61%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德育系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2540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0.55%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0.71%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马克思主义理论系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2042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3.13%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0.29%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3.82%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形势与政策系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0.18%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0.18%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4.09%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1.02%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6.14%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高等数学教学部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4176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0.81%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0.53%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1.34%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概率统计系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2.50%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金融数学系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2.56%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8382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0.50%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0.02%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大学体育部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1770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0.11%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体育经济与管理系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2.08%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2.08%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心理健康教育教研室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0.81%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2.03%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0.41%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3.25%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军事理论教研室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0.44%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0.44%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就业指导教研室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3.67%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1.96%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5.62%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国际教育教研室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1146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0.35%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0.17%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0.70%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2.50%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经济学系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5730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1.43%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0.45%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1.92%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国际贸易系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2780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3.02%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0.07%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0.65%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4.68%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安全教育课程组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1.32%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5.26%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7.89%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创业基础教研室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5.47%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0.21%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5.89%</w:t>
            </w:r>
          </w:p>
        </w:tc>
      </w:tr>
    </w:tbl>
    <w:p>
      <w:pPr>
        <w:spacing w:line="365" w:lineRule="auto"/>
        <w:ind w:firstLine="964" w:firstLineChars="300"/>
        <w:jc w:val="center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（三）第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-1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周教师调课、补课情况</w:t>
      </w:r>
    </w:p>
    <w:p>
      <w:pPr>
        <w:spacing w:line="365" w:lineRule="auto"/>
        <w:ind w:firstLine="1680" w:firstLineChars="600"/>
        <w:jc w:val="center"/>
        <w:rPr>
          <w:rFonts w:ascii="黑体" w:hAnsi="黑体" w:eastAsia="黑体"/>
          <w:color w:val="auto"/>
          <w:sz w:val="28"/>
          <w:szCs w:val="28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表四：第</w:t>
      </w:r>
      <w:r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  <w:t>13</w:t>
      </w:r>
      <w:r>
        <w:rPr>
          <w:rFonts w:hint="eastAsia" w:ascii="黑体" w:hAnsi="黑体" w:eastAsia="黑体"/>
          <w:color w:val="auto"/>
          <w:sz w:val="28"/>
          <w:szCs w:val="28"/>
        </w:rPr>
        <w:t>-1</w:t>
      </w:r>
      <w:r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/>
          <w:color w:val="auto"/>
          <w:sz w:val="28"/>
          <w:szCs w:val="28"/>
        </w:rPr>
        <w:t>周教师调课、停课情况明细表</w:t>
      </w:r>
    </w:p>
    <w:tbl>
      <w:tblPr>
        <w:tblStyle w:val="2"/>
        <w:tblW w:w="85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994"/>
        <w:gridCol w:w="2054"/>
        <w:gridCol w:w="1080"/>
        <w:gridCol w:w="1170"/>
        <w:gridCol w:w="1080"/>
        <w:gridCol w:w="6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cs="Arial"/>
                <w:color w:val="auto"/>
                <w:sz w:val="20"/>
                <w:szCs w:val="20"/>
              </w:rPr>
              <w:t>课程名称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hint="eastAsia" w:cs="Arial"/>
                <w:color w:val="auto"/>
                <w:sz w:val="20"/>
                <w:szCs w:val="20"/>
              </w:rPr>
              <w:t>上课</w:t>
            </w:r>
          </w:p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cs="Arial"/>
                <w:color w:val="auto"/>
                <w:sz w:val="20"/>
                <w:szCs w:val="20"/>
              </w:rPr>
              <w:t>教师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cs="Arial"/>
                <w:color w:val="auto"/>
                <w:sz w:val="20"/>
                <w:szCs w:val="20"/>
              </w:rPr>
              <w:t>上课班级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hint="eastAsia" w:cs="Arial"/>
                <w:color w:val="auto"/>
                <w:sz w:val="20"/>
                <w:szCs w:val="20"/>
              </w:rPr>
              <w:t>调停课</w:t>
            </w:r>
          </w:p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cs="Arial"/>
                <w:color w:val="auto"/>
                <w:sz w:val="20"/>
                <w:szCs w:val="20"/>
              </w:rPr>
              <w:t>原因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cs="Arial"/>
                <w:color w:val="auto"/>
                <w:sz w:val="20"/>
                <w:szCs w:val="20"/>
              </w:rPr>
              <w:t>调课类型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cs="Arial"/>
                <w:color w:val="auto"/>
                <w:sz w:val="20"/>
                <w:szCs w:val="20"/>
              </w:rPr>
              <w:t>调前周次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cs="Arial"/>
                <w:color w:val="auto"/>
                <w:sz w:val="20"/>
                <w:szCs w:val="20"/>
              </w:rPr>
              <w:t>调后周次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阮远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2021体育经济与管理,2021经济统计学,临班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8-17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口译基础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黄越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2020翻译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线性代数B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朱丹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临班,2020会计学九,2020会计学十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1-2,4-16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线性代数B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朱丹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2020旅游管理二,临班,2020旅游管理一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线性代数B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朱丹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2020会计学(职高),2020经济学,临班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大学数学(一)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周游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2021会计学（专升本）三,2021会计学（专升本）四,临班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大学数学(一)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周游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2021人力资源管理（专升本）一,2021人力资源管理（专升本）二,临班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公司战略与风险管理（CPA）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钱文芳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临班,2018审计学一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1,3-8,10-16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公司战略与风险管理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钱文芳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2019财务管理三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公司战略与风险管理（CPA）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钱文芳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2018审计学三,临班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1-3,5-8,10-16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公司战略与风险管理（CPA）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钱文芳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临班,2020会计学（专升本）一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3,7,10-11,16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公司战略与风险管理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钱文芳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2019财务管理二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公司战略与风险管理（CPA）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钱文芳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2018审计学二,临班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1-8,10-16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公司战略与风险管理（CPA）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钱文芳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2020会计学（专升本）六,临班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1-3,6-16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公司战略与风险管理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钱文芳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2019财务管理一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1-2,4-16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公司战略与风险管理（CPA）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钱文芳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2018会计学（职高）,临班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1,3-8,10-16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公司战略与风险管理（CPA）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钱文芳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2020会计学（专升本）五,临班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1-5,7-16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公司战略与风险管理（CPA）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钱文芳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2020会计学（专升本）四,临班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1-5,7-16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党史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朱莉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2021经济与贸易类五,2021经济与贸易类六,临班,2021经济与贸易类四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12-15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欧光义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临班,2021外国语言文学类五,2021外国语言文学类六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8-17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欧光义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临班,2021房地产开发与管理,2021土地资源管理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8-17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欧光义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临班,2021会计学八,2021会计学七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8-17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金融学A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陈美林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2021金融数学(专升本),2021法学（专升本）,临班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党史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陈伶俐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临班,2021金融学类三,2021金融学类一,2021金融学类二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12-15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党史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陈伶俐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临班,2021财政学（厚生班）,2021金融学（CFA&amp;FRM）一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12-15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国学与管理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李小娟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2021人力资源管理（专升本）一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国学与管理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刘铁明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2021人力资源管理（专升本）一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国学与管理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许小主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2021人力资源管理（专升本）一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国学与管理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李小娟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2021人力资源管理（专升本）一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国学与管理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刘铁明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2021人力资源管理（专升本）一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国学与管理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许小主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2021人力资源管理（专升本）一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刘恒山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2021休闲体育一,2021休闲体育二,临班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8-14,16-17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概率论与随机过程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2020金融数学一,2020金融数学二,临班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1-2,4-16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国学与管理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李小娟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2020人力资源管理二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国学与管理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刘铁明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2020人力资源管理二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国学与管理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许小主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2020人力资源管理二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国学与管理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李小娟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2020人力资源管理一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国学与管理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刘铁明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2020人力资源管理一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国学与管理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许小主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2020人力资源管理一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高级财务会计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彭亮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2019会计学六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高级财务会计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彭亮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2019会计学八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创业基础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李芝山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2020会计学（国）三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创业基础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李芝山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2020金融学（金融科技）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创业基础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李芝山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2020金融学二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15,16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创业基础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李芝山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2020金融学四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15,16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绩效管理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李芝山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2019人力资源管理二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绩效管理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李芝山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2019人力资源管理一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绩效管理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李芝山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2019人力资源管理三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15,16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仓储与配送管理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邹浩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2019物流管理二,临班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1-2,4-10,12-16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运筹学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邹浩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2021工程造价（专升本）二,2021工程造价（专升本）一,临班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1-2,4-16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运筹学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邹浩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2019工程造价二,2019工程造价三,临班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1-2,4-16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新媒体营销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李中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2021市场营销（专升本）二,临班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1-2,4-16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新媒体营销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李中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2019投资学一,2019投资学二,临班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BIM技术概论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唐俊峰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2018工程造价三,临班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BIM技术导论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唐俊峰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2020工程管理（专升本）,临班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大学英语(一)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侯卉君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2021经济与贸易类四,临班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8-19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15-19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大学英语(一)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侯卉君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2021经济与贸易类三,临班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8-19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15-19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建筑施工技术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麻彦娜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2021工程造价（专升本）一,2021工程造价（专升本）二,临班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1-6,8-16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绿色建筑与可持续发展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郑标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临班,2019土地资源管理,2019房地产开发与管理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廖小东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2020英语三,2020会计学(ACCA)一,临班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运筹学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邹浩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2021工程造价（专升本）二,2021工程造价（专升本）一,临班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管理会计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彭云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2019会计学六,临班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管理会计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彭云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2019会计学七,临班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投资学（双语）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杨春白雪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2020投资学一,2020投资学二,临班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1-8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投资学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杨春白雪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2019金融学六,2019金融学五,2019金融学二,临班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投资学（双语）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杨春白雪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2020投资学一,2020投资学二,临班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投资学B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杨春白雪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2020金融学（专升本）一,2020金融学（专升本）二,临班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投资学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杨春白雪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2019金融学一,2019金融学四,2019金融学三,临班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土地信息系统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戴婷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2019土地资源管理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仓储与配送管理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邹浩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2019物流管理二,临班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1-10,12-16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运筹学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邹浩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2019工程造价二,2019工程造价三,临班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项目管理学B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丁杰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2020国际经济与贸易（厚生班）,临班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1,3-16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面向对象程序设计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刘超群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2020电子信息工程一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Android程序设计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刘超群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2019电子信息工程一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Android程序设计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刘超群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2019电子信息工程二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概率论与随机过程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2020金融数学一,2020金融数学二,临班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概率论与随机过程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2020金融数学一,2020金融数学二,临班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线性代数B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2020计算机科学与技术二,2020计算机科学与技术一,临班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线性代数B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临班,2020会计学（国）三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金融信息系统课程设计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刘超群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2020电子信息工程（专升本）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1-2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项目管理学B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罗永恒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2020国际经济与贸易四,2020国际经济与贸易三,临班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国际物流理论与实务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周坤霖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2021物流管理（专升本）三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1-2,4-16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供应链与物流管理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周坤霖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2020电子商务（专升本）二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1-2,4-16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供应链与物流管理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周坤霖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2020电子商务（专升本）二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国际物流理论与实务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周坤霖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2021物流管理（专升本）一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1-2,4-16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国际物流理论与实务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周坤霖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2021物流管理（专升本）二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电子商务物流B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周坤霖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2021物流管理（专升本）一,2021物流管理（专升本）二,临班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组织行为学A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许羿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2021人力资源管理（专升本）一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金融学A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陈美林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2021金融数学(专升本),2021法学（专升本）,临班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1,5,7,9,11,13,15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阳海飞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2021财政学类三,2021财政学（厚生班）,临班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8,10-17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党史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阳海飞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临班,2021经济与贸易类三,2021经济与贸易类一,2021经济与贸易类二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12-15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何赛雄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2020会计学七,2020会计学八,临班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何赛雄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2020文化产业管理,临班,2020市场营销三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仓储与配送管理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邹浩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2019物流管理一,临班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1-10,12-16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大学英语(一)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晏颖影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2021审计学二,临班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8-19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大学英语(一)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晏颖影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临班,2021工商管理类六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9,11,13,15,17,19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邓伟艳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2020行政管理二,2020行政管理一,临班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邓伟艳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临班,2020网络与新媒体二,2020网络与新媒体一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供应链管理（双语）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高昕欣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2020物流管理二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1-2,4-11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供应链管理（双语）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高昕欣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2020物流管理一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1-2,4-11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公共政策学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何四海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2019财政学（实验班）,2019税收学,临班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刘丽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开班重修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3-9,11-16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公共政策学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何四海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2019财政学二,2019财政学一,临班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二外（一）（日语）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胡佩瑶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2021商务英语（专升本）四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1-2,4-16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金融经济学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黄璇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2019金融数学一,2019金融数学二,临班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1,5,7,9,11,13,15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政治经济学A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王玉喜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2021国际经济与贸易（专升本）二,2021国际经济与贸易（专升本）一,临班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1,5,7,9,11,13,15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微观经济学B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王玉喜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2021会计学（专升本）三,2021会计学（专升本）四,临班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1-2,4-16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微观经济学B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王玉喜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2021会计学（专升本）一,2021会计学（专升本）二,临班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1-2,4-16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党史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刘恒山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2021会计学十一,2021会计学十,临班,2021会计学十二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12-15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刘恒山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2021休闲体育一,2021休闲体育二,临班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8-17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市场营销学原理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黄向荣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2021人力资源管理（专升本）一,临班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1-3,5-9,11-16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统计学原理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黄向荣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2021市场营销（专升本）一,临班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市场营销学原理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黄向荣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临班,2021人力资源管理（专升本）二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1-3,5-9,11-16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统计学原理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黄向荣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2021市场营销（专升本）二,临班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运筹学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邹浩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2019工程管理一,2019工程管理二,临班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大学生心理健康教育(一)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饶苗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2021计算机类七,2021计算机类八,临班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8-15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大学生心理健康教育(一)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饶苗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2021外国语言文学类六,2021外国语言文学类五,临班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8-15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大学生心理健康教育(一)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饶苗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2021金融学（CFA&amp;FRM）一,临班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8-15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大学生心理健康教育(一)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饶苗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2021金融学类七,2021金融学类八,临班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8-15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经济法B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董仁周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2020投资学二,2020投资学一,临班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经济法B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董仁周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2019金融数学一,2019金融数学二,临班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经济法B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董仁周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2019财政学一,2019财政学二,临班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经济法B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董仁周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2020投资学二,2020投资学一,临班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经济法B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董仁周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2019金融数学一,2019金融数学二,临班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税收策划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胡小梅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2019审计学二,2019财务管理一,临班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1-8,13-16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大学生心理健康教育(一)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陈志霞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2021公共管理类一,2021公共管理类二,临班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8-15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微观经济学B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王玉喜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2021会计学（专升本）三,2021会计学（专升本）四,临班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中级财务会计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叶爱华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2020法学二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1,3,7,11,13,15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政治经济学B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王玉喜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2021市场营销（专升本）一,2021市场营销（专升本）二,临班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政治经济学B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王玉喜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2021法学（专升本）,2021房地产开发与管理（专升本）,临班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政治经济学A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王玉喜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2021国际经济与贸易（专升本）二,2021国际经济与贸易（专升本）一,临班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微观经济学B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王玉喜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2021会计学（专升本）一,2021会计学（专升本）二,临班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税收策划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胡小梅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2019税收学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物流系统分析与设计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汤春华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2020物流管理（专升本）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党史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张晓敏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2021计算机类三,2021计算机类一,临班,2021计算机类二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12-15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党史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张晓敏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2021电子信息类一,临班,2021电子信息类二,2021电子信息类三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12-15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资本经营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杨晓辉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2019会计学三,临班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1-2,4-16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资本经营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杨晓辉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2019会计学四,临班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客户关系管理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武贵友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2019市场营销一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客户关系管理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武贵友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2020市场营销（专升本）二,临班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客户关系管理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武贵友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2021电子商务（专升本）三,临班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客户关系管理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武贵友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2020市场营销（专升本）一,临班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项目管理学B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罗永恒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2020国际经济与贸易四,2020国际经济与贸易三,临班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1-9,11-16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项目管理学B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罗永恒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2020国际经济与贸易一,2020国际经济与贸易二,临班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1-9,11-16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金融学B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王娟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临班,2021会计学（专升本）一,2021会计学（专升本）四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金融学B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王娟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2021会计学（专升本）三,2021会计学（专升本）二,临班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王婷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2021市场营销（专升本）一,2021市场营销（专升本）二,临班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王婷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2021市场营销（专升本）一,2021市场营销（专升本）二,临班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1-2,4-16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高等数学Ⅰ(上)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严建明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开班重修一班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3-14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外贸英语函电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朱维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2021商务英语（专升本）四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外贸英语函电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朱维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2019国际经济与贸易四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高等数学Ⅰ(上)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曹松波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开班重修二班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3-6,8-11,13-14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国学与管理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李小娟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2021人力资源管理（专升本）二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国学与管理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刘铁明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2021人力资源管理（专升本）二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国学与管理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许小主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2021人力资源管理（专升本）二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国学与管理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李小娟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2019行政管理一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1-8,11-14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国学与管理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刘铁明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2019行政管理一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1-8,11-14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国学与管理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许小主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2019行政管理一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1-8,11-14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国学与管理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李小娟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2021人力资源管理（专升本）二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国学与管理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刘铁明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2021人力资源管理（专升本）二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国学与管理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许小主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2021人力资源管理（专升本）二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国学与管理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李小娟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2021人力资源管理（专升本）一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1-12,14-16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国学与管理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刘铁明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2021人力资源管理（专升本）一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1-12,14-16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国学与管理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许小主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2021人力资源管理（专升本）一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1-12,14-16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互联网金融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2019电子商务二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会计学B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钟齐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2020工程管理（专升本）,临班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互联网金融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胡进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2021电子商务（专升本）二,临班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运输组织管理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曾理宁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2019物流管理一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1-2,4-16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运输组织管理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曾理宁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2019物流管理二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1-2,4-16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大学数学(一)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刘平兵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2021物流管理（专升本）一,2021物流管理（专升本）二,临班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大学数学(一)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刘平兵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2021会计学（专升本）二,2021会计学（专升本）一,临班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经济法B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董仁周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2019财政学一,2019财政学二,临班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经济法B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董仁周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2020投资学二,2020投资学一,临班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11-17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大学数学(一)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刘平兵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开班重修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经济法B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董仁周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2019金融数学一,2019金融数学二,临班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英国文学选读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汪小英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2019英语二,2019翻译,临班,2019英语一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1-2,4-16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物联网技术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周龙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2020市场营销（专升本）一,2018电子商务二,2018电子商务一,2018电子信息工程,2020市场营销（专升本）二,2020电子信息工程（专升本）,2019电子信息工程二,2019电子信息工程一,临班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会计学B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钟齐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2020工程管理（专升本）,临班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互联网产品设计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甘露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2021电子商务（专升本）二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大学计算机基础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吴杨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2021金融学类四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10-19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大学计算机基础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吴杨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2021经济统计学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14-15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大学日语（一）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黄碧琴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2021级学生替代《大学英语（一）》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8-19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运输组织管理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曾理宁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2019物流管理一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运输组织管理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曾理宁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2019物流管理二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物流信息系统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曾理宁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2020物流管理（专升本）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中国文化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魏瑾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2021商务英语（专升本）一,2021商务英语（专升本）三,临班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14-16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中国文化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魏瑾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2021商务英语（专升本）四,2021商务英语（专升本）二,临班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14-16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项目管理学B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罗永恒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2020国际经济与贸易一,2020国际经济与贸易二,临班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大学生心理健康教育(一)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车清清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2021工商管理类三,2021工商管理类四,临班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8-15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大学生心理健康教育(一)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车清清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2021会计学九,2021会计学十,临班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8-15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大学生心理健康教育(一)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车清清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2021财务管理（厚生班）,2021国际经济与贸易（厚生班）,临班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8-15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大学生心理健康教育(一)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周宇薇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2021电子商务二,2021电子商务一,临班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8-15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大学生心理健康教育(一)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周宇薇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2021财政学类三,临班,2021法学三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8-15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大学生心理健康教育(一)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周宇薇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2021金融学类二,2021金融学类一,临班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9-15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大学生心理健康教育(一)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周宇薇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2021会计学五,2021会计学六,临班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9-15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财政学B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施淑蓉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2020审计学一,2020审计学二,临班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财政学B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施淑蓉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2019会计学一,临班,2019会计学三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康俊辉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临班,2021外国语言文学类一,2021外国语言文学类二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8-17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康俊辉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2021金融学类十一,2021日语,临班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8-17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康俊辉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临班,2021审计学一,2021审计学二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8-17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康俊辉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2021金融学类十一,2021日语,临班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8-17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公司金融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熊唯伊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2019金融学（金融科技）一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公司金融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熊唯伊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2019投资学二,2019投资学一,临班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公司金融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熊唯伊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2019金融学六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宏观经济学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刘辉煌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2020财政学（厚生班）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金融学B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王娟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2021国际经济与贸易（专升本）二,2021国际经济与贸易（专升本）一,临班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杨湘容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2021计算机类二,2021计算机类一,临班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杨湘容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2021金融数学二,2021金融数学一,临班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金融学B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王娟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2021会计学（专升本）三,2021会计学（专升本）二,临班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金融学B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王娟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临班,2021会计学（专升本）一,2021会计学（专升本）四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金融学B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王娟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2021国际经济与贸易（专升本）二,2021国际经济与贸易（专升本）一,临班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1-8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人力资源管理前沿专题讲座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李小娟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2020人力资源管理（专升本）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2,4,6,10,12,14,16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EDA技术课程设计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余思洋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2019电子信息工程一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EDA技术课程设计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余思洋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2019电子信息工程二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大学计算机基础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石毅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2021会计学一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8-15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大学计算机基础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赵文成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2021旅游管理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10-19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大学计算机基础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赵文成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2021财务管理一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10-15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大学计算机基础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赵文成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2021会计学十三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12-15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管理会计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董智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2019审计学一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1,3-5,8-9,12-16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管理会计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董智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2019审计学三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1,3-5,8-9,12-16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证券投资基金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尹惠斌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2019金融学（CFA&amp;amp;FRM）一,2019投资学一,临班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1,3-16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证券投资基金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尹惠斌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2019金融学（CFA&amp;amp;FRM）二,2019投资学二,临班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1,3-16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宏观经济学A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方坤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开班重修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3-14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项目管理学B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罗永恒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2020国际经济与贸易四,2020国际经济与贸易三,临班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创业基础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张姣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临班,2020会计学一,2020会计学二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创业基础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张姣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临班,2020会计学九,2020会计学十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创业基础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张姣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2020会计学（国）二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1-7,11-16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创业基础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张姣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2020会计学(ACCA)一,2020会计学(ACCA)二,临班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创业基础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张姣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2020会计学（国）一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创业基础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张姣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2020人力资源管理三,临班,2020市场营销三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时尚品牌的设计与传播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张姣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创业基础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张姣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2020税收学,临班,2020财务管理（数字财务）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企业文化理论与实务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许小主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2018行政管理一,2018行政管理二,2018劳动与社会保障,2020人力资源管理（专升本）,临班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国学与管理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李小娟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2021人力资源管理（专升本）一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国学与管理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刘铁明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2021人力资源管理（专升本）一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国学与管理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许小主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2021人力资源管理（专升本）一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张晓敏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2021财务管理四,2021财务管理三,临班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8-17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14-17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供应链管理（双语）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高昕欣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2020物流管理一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1-11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英语文学选读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朱维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2021商务英语（专升本）二,2021商务英语（专升本）一,临班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中级财务会计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叶爱华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2020法学二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1,3,5,7,11,13,15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中级财务会计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叶爱华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2020法学一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中级财务会计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叶爱华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2020法学一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中级财务会计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叶爱华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2020财政学一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证券投资基金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尹惠斌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2019金融学（CFA&amp;amp;FRM）二,2019投资学二,临班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证券投资基金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尹惠斌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2019金融学（CFA&amp;amp;FRM）一,2019投资学一,临班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创业基础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戴佳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2020投资学二,2020投资学一,临班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创业基础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戴佳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2020财政学（厚生班）,临班,2020财务管理（厚生班）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高等数学（上）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易思维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2021经济统计学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8-19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12-19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国际市场营销学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周游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2019国际经济与贸易四,临班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2-4,6-9,11-16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国际市场营销学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周游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2019国际经济与贸易四,临班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2-4,6-9,11-16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国际市场营销学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周游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2019国际经济与贸易五,2019国际经济与贸易二,临班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2-9,11-16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项目管理学B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丁杰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2020国际经济与贸易五,临班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1-2,4-16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金融市场学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周亮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2020金融学（专升本）一,2020金融学（专升本）二,临班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因事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部分调课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1-16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创业基础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徐妙文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2020市场营销二,2020市场营销一,临班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</w:tbl>
    <w:p>
      <w:pPr>
        <w:spacing w:line="365" w:lineRule="auto"/>
        <w:ind w:left="420" w:leftChars="200"/>
        <w:jc w:val="center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</w:p>
    <w:p>
      <w:pPr>
        <w:rPr>
          <w:color w:val="auto"/>
        </w:rPr>
      </w:pPr>
    </w:p>
    <w:p>
      <w:pPr>
        <w:ind w:firstLine="5040" w:firstLineChars="2400"/>
        <w:rPr>
          <w:rFonts w:hint="eastAsia"/>
          <w:color w:val="auto"/>
        </w:rPr>
      </w:pPr>
    </w:p>
    <w:p>
      <w:pPr>
        <w:ind w:firstLine="5040" w:firstLineChars="2400"/>
        <w:rPr>
          <w:rFonts w:hint="eastAsia"/>
          <w:color w:val="auto"/>
        </w:rPr>
      </w:pPr>
    </w:p>
    <w:p>
      <w:pPr>
        <w:ind w:firstLine="4320" w:firstLineChars="135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教务处 </w:t>
      </w:r>
    </w:p>
    <w:p>
      <w:pPr>
        <w:ind w:firstLine="3840" w:firstLineChars="1200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2021年12月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70E71E"/>
    <w:multiLevelType w:val="singleLevel"/>
    <w:tmpl w:val="0770E71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E5B4976"/>
    <w:multiLevelType w:val="singleLevel"/>
    <w:tmpl w:val="5E5B497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D0B6460"/>
    <w:multiLevelType w:val="singleLevel"/>
    <w:tmpl w:val="6D0B646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7D0F8C"/>
    <w:rsid w:val="0B603DFB"/>
    <w:rsid w:val="0F485AB2"/>
    <w:rsid w:val="110F3E17"/>
    <w:rsid w:val="1B8D3B96"/>
    <w:rsid w:val="1E961690"/>
    <w:rsid w:val="205B101F"/>
    <w:rsid w:val="26155688"/>
    <w:rsid w:val="28A013AD"/>
    <w:rsid w:val="2A8A36BA"/>
    <w:rsid w:val="2CDE24A4"/>
    <w:rsid w:val="2F4B7B98"/>
    <w:rsid w:val="2F9652B7"/>
    <w:rsid w:val="30112B90"/>
    <w:rsid w:val="30FD4EC2"/>
    <w:rsid w:val="333E38D6"/>
    <w:rsid w:val="35F367B5"/>
    <w:rsid w:val="36362163"/>
    <w:rsid w:val="38172D0E"/>
    <w:rsid w:val="3B5D137F"/>
    <w:rsid w:val="3D5270CC"/>
    <w:rsid w:val="3D592ED0"/>
    <w:rsid w:val="419514D0"/>
    <w:rsid w:val="456841E0"/>
    <w:rsid w:val="45731AC5"/>
    <w:rsid w:val="46A70D83"/>
    <w:rsid w:val="499C39E2"/>
    <w:rsid w:val="4DB0533F"/>
    <w:rsid w:val="511D396F"/>
    <w:rsid w:val="51BD47B5"/>
    <w:rsid w:val="54CB31F3"/>
    <w:rsid w:val="5679378D"/>
    <w:rsid w:val="581076FD"/>
    <w:rsid w:val="61CB0ED9"/>
    <w:rsid w:val="66D7192D"/>
    <w:rsid w:val="6A162576"/>
    <w:rsid w:val="6AD33375"/>
    <w:rsid w:val="6B4578E1"/>
    <w:rsid w:val="6DDC46E2"/>
    <w:rsid w:val="700C6F25"/>
    <w:rsid w:val="70DD3DED"/>
    <w:rsid w:val="72AD5981"/>
    <w:rsid w:val="75277BF9"/>
    <w:rsid w:val="762319ED"/>
    <w:rsid w:val="78F15DB8"/>
    <w:rsid w:val="7BAF26FD"/>
    <w:rsid w:val="7E005E7F"/>
    <w:rsid w:val="7EEA5AE0"/>
    <w:rsid w:val="7F57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Office_11.1.0.11284_F1E327BC-269C-435d-A152-05C5408002CA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2021-12-15T02:05:00Z</dcterms:created>
  <dc:creator>titi</dc:creator>
  <cp:lastModifiedBy>titi</cp:lastModifiedBy>
  <dcterms:modified xsi:type="dcterms:W3CDTF">2021-12-29T08:44:56Z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2052-11.1.0.11284</vt:lpwstr>
  </property>
  <property fmtid="{D5CDD505-2E9C-101B-9397-08002B2CF9AE}" pid="3" name="ICV">
    <vt:lpwstr>9CFCEB6F09D24A6BA95A81B7B0A5AA7A</vt:lpwstr>
  </property>
</Properties>
</file>