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Cs/>
          <w:color w:val="000000"/>
          <w:sz w:val="44"/>
          <w:szCs w:val="44"/>
        </w:rPr>
      </w:pPr>
      <w:bookmarkStart w:id="0" w:name="_GoBack"/>
      <w:bookmarkEnd w:id="0"/>
      <w:r>
        <w:rPr>
          <w:rFonts w:hint="eastAsia" w:asciiTheme="majorEastAsia" w:hAnsiTheme="majorEastAsia" w:eastAsiaTheme="majorEastAsia" w:cstheme="majorEastAsia"/>
          <w:bCs/>
          <w:color w:val="000000"/>
          <w:sz w:val="44"/>
          <w:szCs w:val="44"/>
        </w:rPr>
        <w:t>湖南财政经济学院课程考核</w:t>
      </w:r>
    </w:p>
    <w:p>
      <w:pPr>
        <w:spacing w:line="560" w:lineRule="exact"/>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Cs/>
          <w:color w:val="000000"/>
          <w:sz w:val="44"/>
          <w:szCs w:val="44"/>
        </w:rPr>
        <w:t>管理办法补充规定（修订）</w:t>
      </w:r>
    </w:p>
    <w:p>
      <w:pPr>
        <w:spacing w:before="156" w:beforeLines="50"/>
        <w:jc w:val="center"/>
        <w:rPr>
          <w:rFonts w:ascii="楷体_GB2312" w:hAnsi="楷体" w:eastAsia="楷体_GB2312"/>
          <w:color w:val="000000"/>
          <w:sz w:val="24"/>
        </w:rPr>
      </w:pP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第一章</w:t>
      </w:r>
      <w:r>
        <w:rPr>
          <w:rFonts w:ascii="黑体" w:hAnsi="黑体" w:eastAsia="黑体"/>
          <w:color w:val="000000"/>
          <w:sz w:val="24"/>
        </w:rPr>
        <w:t xml:space="preserve">  </w:t>
      </w:r>
      <w:r>
        <w:rPr>
          <w:rFonts w:hint="eastAsia" w:ascii="黑体" w:hAnsi="黑体" w:eastAsia="黑体"/>
          <w:color w:val="000000"/>
          <w:sz w:val="24"/>
        </w:rPr>
        <w:t>总　　则</w:t>
      </w:r>
    </w:p>
    <w:p>
      <w:pPr>
        <w:shd w:val="clear" w:color="auto" w:fill="FFFFFF"/>
        <w:adjustRightInd w:val="0"/>
        <w:snapToGrid w:val="0"/>
        <w:spacing w:line="360" w:lineRule="exact"/>
        <w:ind w:firstLine="474" w:firstLineChars="225"/>
        <w:jc w:val="left"/>
        <w:rPr>
          <w:rFonts w:ascii="宋体"/>
          <w:color w:val="000000"/>
          <w:kern w:val="0"/>
          <w:szCs w:val="21"/>
        </w:rPr>
      </w:pPr>
      <w:r>
        <w:rPr>
          <w:rFonts w:hint="eastAsia" w:ascii="宋体" w:hAnsi="宋体"/>
          <w:b/>
          <w:color w:val="000000"/>
          <w:kern w:val="0"/>
          <w:szCs w:val="21"/>
        </w:rPr>
        <w:t>第一条</w:t>
      </w:r>
      <w:r>
        <w:rPr>
          <w:rFonts w:ascii="宋体" w:hAnsi="宋体"/>
          <w:color w:val="000000"/>
          <w:kern w:val="0"/>
          <w:szCs w:val="21"/>
        </w:rPr>
        <w:t xml:space="preserve">  </w:t>
      </w:r>
      <w:r>
        <w:rPr>
          <w:rFonts w:hint="eastAsia" w:ascii="宋体" w:hAnsi="宋体"/>
          <w:color w:val="000000"/>
          <w:kern w:val="0"/>
          <w:szCs w:val="21"/>
        </w:rPr>
        <w:t>为了满足教学改革的需要，以人才培养方案、教学大纲、考试大纲为依据，特制定本办法，作为《湖南财政经济学院课程考核管理办法》（院发</w:t>
      </w:r>
      <w:r>
        <w:rPr>
          <w:rFonts w:ascii="宋体" w:hAnsi="宋体"/>
          <w:color w:val="000000"/>
          <w:kern w:val="0"/>
          <w:szCs w:val="21"/>
        </w:rPr>
        <w:t>[</w:t>
      </w:r>
      <w:r>
        <w:rPr>
          <w:rFonts w:ascii="Times New Roman" w:hAnsi="Times New Roman"/>
          <w:color w:val="000000"/>
          <w:kern w:val="0"/>
          <w:szCs w:val="21"/>
        </w:rPr>
        <w:t>2014</w:t>
      </w:r>
      <w:r>
        <w:rPr>
          <w:rFonts w:ascii="宋体" w:hAnsi="宋体"/>
          <w:color w:val="000000"/>
          <w:kern w:val="0"/>
          <w:szCs w:val="21"/>
        </w:rPr>
        <w:t>]</w:t>
      </w:r>
      <w:r>
        <w:rPr>
          <w:rFonts w:ascii="Times New Roman" w:hAnsi="Times New Roman"/>
          <w:color w:val="000000"/>
          <w:kern w:val="0"/>
          <w:szCs w:val="21"/>
        </w:rPr>
        <w:t>47</w:t>
      </w:r>
      <w:r>
        <w:rPr>
          <w:rFonts w:hint="eastAsia" w:ascii="宋体" w:hAnsi="宋体"/>
          <w:color w:val="000000"/>
          <w:kern w:val="0"/>
          <w:szCs w:val="21"/>
        </w:rPr>
        <w:t>号）和《湖南财政经济学院学生学籍管理规定（试行）》（院发</w:t>
      </w:r>
      <w:r>
        <w:rPr>
          <w:rFonts w:ascii="宋体" w:hAnsi="宋体"/>
          <w:color w:val="000000"/>
          <w:kern w:val="0"/>
          <w:szCs w:val="21"/>
        </w:rPr>
        <w:t>[</w:t>
      </w:r>
      <w:r>
        <w:rPr>
          <w:rFonts w:ascii="Times New Roman" w:hAnsi="Times New Roman"/>
          <w:color w:val="000000"/>
          <w:kern w:val="0"/>
          <w:szCs w:val="21"/>
        </w:rPr>
        <w:t>2010</w:t>
      </w:r>
      <w:r>
        <w:rPr>
          <w:rFonts w:ascii="宋体" w:hAnsi="宋体"/>
          <w:color w:val="000000"/>
          <w:kern w:val="0"/>
          <w:szCs w:val="21"/>
        </w:rPr>
        <w:t>]</w:t>
      </w:r>
      <w:r>
        <w:rPr>
          <w:rFonts w:ascii="Times New Roman" w:hAnsi="Times New Roman"/>
          <w:color w:val="000000"/>
          <w:kern w:val="0"/>
          <w:szCs w:val="21"/>
        </w:rPr>
        <w:t>24</w:t>
      </w:r>
      <w:r>
        <w:rPr>
          <w:rFonts w:hint="eastAsia" w:ascii="宋体" w:hAnsi="宋体"/>
          <w:color w:val="000000"/>
          <w:kern w:val="0"/>
          <w:szCs w:val="21"/>
        </w:rPr>
        <w:t>号）的补充规定。</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第二章</w:t>
      </w:r>
      <w:r>
        <w:rPr>
          <w:rFonts w:ascii="黑体" w:hAnsi="黑体" w:eastAsia="黑体"/>
          <w:color w:val="000000"/>
          <w:sz w:val="24"/>
        </w:rPr>
        <w:t xml:space="preserve">  </w:t>
      </w:r>
      <w:r>
        <w:rPr>
          <w:rFonts w:hint="eastAsia" w:ascii="黑体" w:hAnsi="黑体" w:eastAsia="黑体"/>
          <w:color w:val="000000"/>
          <w:sz w:val="24"/>
        </w:rPr>
        <w:t>考核方式和时间</w:t>
      </w:r>
    </w:p>
    <w:p>
      <w:pPr>
        <w:shd w:val="clear" w:color="auto" w:fill="FFFFFF"/>
        <w:adjustRightInd w:val="0"/>
        <w:snapToGrid w:val="0"/>
        <w:spacing w:line="360" w:lineRule="exact"/>
        <w:ind w:firstLine="474" w:firstLineChars="225"/>
        <w:jc w:val="left"/>
        <w:rPr>
          <w:rFonts w:ascii="宋体"/>
          <w:color w:val="000000"/>
          <w:kern w:val="0"/>
          <w:szCs w:val="21"/>
        </w:rPr>
      </w:pPr>
      <w:r>
        <w:rPr>
          <w:rFonts w:hint="eastAsia" w:ascii="宋体" w:hAnsi="宋体"/>
          <w:b/>
          <w:color w:val="000000"/>
          <w:kern w:val="0"/>
          <w:szCs w:val="21"/>
        </w:rPr>
        <w:t>第二条</w:t>
      </w:r>
      <w:r>
        <w:rPr>
          <w:rFonts w:ascii="宋体" w:hAnsi="宋体"/>
          <w:color w:val="000000"/>
          <w:kern w:val="0"/>
          <w:szCs w:val="21"/>
        </w:rPr>
        <w:t xml:space="preserve">  </w:t>
      </w:r>
      <w:r>
        <w:rPr>
          <w:rFonts w:hint="eastAsia" w:ascii="宋体" w:hAnsi="宋体"/>
          <w:color w:val="000000"/>
          <w:kern w:val="0"/>
          <w:szCs w:val="21"/>
        </w:rPr>
        <w:t>考核分为考试和考查两种，考试分为命题考试和非命题考试两种。命题考试采用笔试或</w:t>
      </w:r>
      <w:r>
        <w:rPr>
          <w:rFonts w:ascii="宋体" w:hAnsi="宋体"/>
          <w:color w:val="000000"/>
          <w:kern w:val="0"/>
          <w:szCs w:val="21"/>
        </w:rPr>
        <w:t>机试</w:t>
      </w:r>
      <w:r>
        <w:rPr>
          <w:rFonts w:hint="eastAsia" w:ascii="宋体" w:hAnsi="宋体"/>
          <w:color w:val="000000"/>
          <w:kern w:val="0"/>
          <w:szCs w:val="21"/>
        </w:rPr>
        <w:t>的方式进行，非命题考试和考查可以根据课程性质、特点、内容采取笔试（开卷、闭卷）、口试、口试笔试兼用、听力考试、面试、理论考核与实际能力考核（实验、实习、上机、设计、作品、论文、社会实践）相结合等多种形式进行。具体的考核方式由任课教师根据课程的性质、特点和教学目标拟定，并由开课二级学院审定，任课教师应在开课时向学生公布。</w:t>
      </w:r>
    </w:p>
    <w:p>
      <w:pPr>
        <w:shd w:val="clear" w:color="auto" w:fill="FFFFFF"/>
        <w:adjustRightInd w:val="0"/>
        <w:snapToGrid w:val="0"/>
        <w:spacing w:line="360" w:lineRule="exact"/>
        <w:ind w:firstLine="474" w:firstLineChars="225"/>
        <w:jc w:val="left"/>
        <w:rPr>
          <w:rFonts w:ascii="宋体"/>
          <w:color w:val="000000"/>
          <w:kern w:val="0"/>
          <w:szCs w:val="21"/>
        </w:rPr>
      </w:pPr>
      <w:r>
        <w:rPr>
          <w:rFonts w:hint="eastAsia" w:ascii="宋体" w:hAnsi="宋体"/>
          <w:b/>
          <w:color w:val="000000"/>
          <w:kern w:val="0"/>
          <w:szCs w:val="21"/>
        </w:rPr>
        <w:t>第三条</w:t>
      </w:r>
      <w:r>
        <w:rPr>
          <w:rFonts w:ascii="宋体" w:hAnsi="宋体"/>
          <w:color w:val="000000"/>
          <w:kern w:val="0"/>
          <w:szCs w:val="21"/>
        </w:rPr>
        <w:t xml:space="preserve">  </w:t>
      </w:r>
      <w:r>
        <w:rPr>
          <w:rFonts w:hint="eastAsia" w:ascii="宋体" w:hAnsi="宋体"/>
          <w:color w:val="000000"/>
          <w:kern w:val="0"/>
          <w:szCs w:val="21"/>
        </w:rPr>
        <w:t>笔试的时间一般为</w:t>
      </w:r>
      <w:r>
        <w:rPr>
          <w:rFonts w:ascii="Times New Roman" w:hAnsi="Times New Roman"/>
          <w:color w:val="000000"/>
          <w:kern w:val="0"/>
          <w:szCs w:val="21"/>
        </w:rPr>
        <w:t>90</w:t>
      </w:r>
      <w:r>
        <w:rPr>
          <w:rFonts w:hint="eastAsia" w:ascii="宋体" w:hAnsi="宋体"/>
          <w:color w:val="000000"/>
          <w:kern w:val="0"/>
          <w:szCs w:val="21"/>
        </w:rPr>
        <w:t>～</w:t>
      </w:r>
      <w:r>
        <w:rPr>
          <w:rFonts w:ascii="Times New Roman" w:hAnsi="Times New Roman"/>
          <w:color w:val="000000"/>
          <w:kern w:val="0"/>
          <w:szCs w:val="21"/>
        </w:rPr>
        <w:t>180</w:t>
      </w:r>
      <w:r>
        <w:rPr>
          <w:rFonts w:hint="eastAsia" w:ascii="宋体" w:hAnsi="宋体"/>
          <w:color w:val="000000"/>
          <w:kern w:val="0"/>
          <w:szCs w:val="21"/>
        </w:rPr>
        <w:t>分钟（艺术类除外），考核题量应与考核时量相吻合。口试（面试）的时间一般为每人</w:t>
      </w:r>
      <w:r>
        <w:rPr>
          <w:rFonts w:ascii="Times New Roman" w:hAnsi="Times New Roman"/>
          <w:color w:val="000000"/>
          <w:kern w:val="0"/>
          <w:szCs w:val="21"/>
        </w:rPr>
        <w:t>10</w:t>
      </w:r>
      <w:r>
        <w:rPr>
          <w:rFonts w:hint="eastAsia" w:ascii="宋体" w:hAnsi="宋体"/>
          <w:color w:val="000000"/>
          <w:kern w:val="0"/>
          <w:szCs w:val="21"/>
        </w:rPr>
        <w:t>～</w:t>
      </w:r>
      <w:r>
        <w:rPr>
          <w:rFonts w:ascii="Times New Roman" w:hAnsi="Times New Roman"/>
          <w:color w:val="000000"/>
          <w:kern w:val="0"/>
          <w:szCs w:val="21"/>
        </w:rPr>
        <w:t>30</w:t>
      </w:r>
      <w:r>
        <w:rPr>
          <w:rFonts w:hint="eastAsia" w:ascii="宋体" w:hAnsi="宋体"/>
          <w:color w:val="000000"/>
          <w:kern w:val="0"/>
          <w:szCs w:val="21"/>
        </w:rPr>
        <w:t>分钟。考核时间不得在考核过程中临时更改。</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第三章</w:t>
      </w:r>
      <w:r>
        <w:rPr>
          <w:rFonts w:ascii="黑体" w:hAnsi="黑体" w:eastAsia="黑体"/>
          <w:color w:val="000000"/>
          <w:sz w:val="24"/>
        </w:rPr>
        <w:t xml:space="preserve">  </w:t>
      </w:r>
      <w:r>
        <w:rPr>
          <w:rFonts w:hint="eastAsia" w:ascii="黑体" w:hAnsi="黑体" w:eastAsia="黑体"/>
          <w:color w:val="000000"/>
          <w:sz w:val="24"/>
        </w:rPr>
        <w:t>考核资格审查</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第四条</w:t>
      </w:r>
      <w:r>
        <w:rPr>
          <w:rFonts w:ascii="宋体" w:hAnsi="宋体"/>
          <w:color w:val="000000"/>
          <w:kern w:val="0"/>
          <w:szCs w:val="21"/>
        </w:rPr>
        <w:t xml:space="preserve">  </w:t>
      </w:r>
      <w:r>
        <w:rPr>
          <w:rFonts w:hint="eastAsia" w:ascii="宋体" w:hAnsi="宋体"/>
          <w:color w:val="000000"/>
          <w:kern w:val="0"/>
          <w:szCs w:val="21"/>
        </w:rPr>
        <w:t>学生考核资格由任课教师和</w:t>
      </w:r>
      <w:r>
        <w:rPr>
          <w:rFonts w:hint="eastAsia" w:ascii="宋体" w:hAnsi="宋体"/>
          <w:color w:val="000000"/>
          <w:kern w:val="0"/>
          <w:szCs w:val="21"/>
          <w:lang w:eastAsia="zh-CN"/>
        </w:rPr>
        <w:t>课程</w:t>
      </w:r>
      <w:r>
        <w:rPr>
          <w:rFonts w:hint="eastAsia" w:ascii="宋体" w:hAnsi="宋体"/>
          <w:color w:val="000000"/>
          <w:kern w:val="0"/>
          <w:szCs w:val="21"/>
        </w:rPr>
        <w:t>所</w:t>
      </w:r>
      <w:r>
        <w:rPr>
          <w:rFonts w:hint="eastAsia" w:ascii="宋体" w:hAnsi="宋体"/>
          <w:color w:val="000000"/>
          <w:kern w:val="0"/>
          <w:szCs w:val="21"/>
          <w:lang w:eastAsia="zh-CN"/>
        </w:rPr>
        <w:t>在教学单位</w:t>
      </w:r>
      <w:r>
        <w:rPr>
          <w:rFonts w:hint="eastAsia" w:ascii="宋体" w:hAnsi="宋体"/>
          <w:color w:val="000000"/>
          <w:kern w:val="0"/>
          <w:szCs w:val="21"/>
        </w:rPr>
        <w:t>确认。凡具有下列情况之一者，应取消其参加相应课程考核的资格：</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（一）缺课累计超过该门课程教学时数三分之一的；</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（二）缺交作业（包括实验报告）累计超过该门课程作业量三分之一的；</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（三）实验（实践）教学部分考核不合格的。</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第五条</w:t>
      </w:r>
      <w:r>
        <w:rPr>
          <w:rFonts w:ascii="宋体" w:hAnsi="宋体"/>
          <w:color w:val="000000"/>
          <w:kern w:val="0"/>
          <w:szCs w:val="21"/>
        </w:rPr>
        <w:t xml:space="preserve">  </w:t>
      </w:r>
      <w:r>
        <w:rPr>
          <w:rFonts w:hint="eastAsia" w:ascii="宋体" w:hAnsi="宋体"/>
          <w:color w:val="000000"/>
          <w:kern w:val="0"/>
          <w:szCs w:val="21"/>
        </w:rPr>
        <w:t>任课教师负责审核学生考核资格，考核前</w:t>
      </w:r>
      <w:r>
        <w:rPr>
          <w:rFonts w:ascii="Times New Roman" w:hAnsi="Times New Roman"/>
          <w:color w:val="000000"/>
          <w:kern w:val="0"/>
          <w:szCs w:val="21"/>
        </w:rPr>
        <w:t>1</w:t>
      </w:r>
      <w:r>
        <w:rPr>
          <w:rFonts w:hint="eastAsia" w:ascii="宋体" w:hAnsi="宋体"/>
          <w:color w:val="000000"/>
          <w:kern w:val="0"/>
          <w:szCs w:val="21"/>
        </w:rPr>
        <w:t>周将取消考核资格的学生名单，及取消考核资格的原因形成文字申请，报送课程所在二级学院审核并存档，二级学院将审核结果分别通知学生本人。同时，各二级学院复核汇总后，填写《湖南财政经济学院学生课程考核资格取消登记表》报学校教务处备案。凡不具备考核资格擅自参加考核的学生，其成绩作无效处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第六条</w:t>
      </w:r>
      <w:r>
        <w:rPr>
          <w:rFonts w:ascii="宋体" w:hAnsi="宋体"/>
          <w:color w:val="000000"/>
          <w:kern w:val="0"/>
          <w:szCs w:val="21"/>
        </w:rPr>
        <w:t xml:space="preserve">  </w:t>
      </w:r>
      <w:r>
        <w:rPr>
          <w:rFonts w:hint="eastAsia" w:ascii="宋体" w:hAnsi="宋体"/>
          <w:color w:val="000000"/>
          <w:kern w:val="0"/>
          <w:szCs w:val="21"/>
        </w:rPr>
        <w:t>被取消考核资格者，应按照《湖南财政经济学院课程重修管理暂行办法》重修。</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第四章</w:t>
      </w:r>
      <w:r>
        <w:rPr>
          <w:rFonts w:ascii="黑体" w:hAnsi="黑体" w:eastAsia="黑体"/>
          <w:color w:val="000000"/>
          <w:sz w:val="24"/>
        </w:rPr>
        <w:t xml:space="preserve">  </w:t>
      </w:r>
      <w:r>
        <w:rPr>
          <w:rFonts w:hint="eastAsia" w:ascii="黑体" w:hAnsi="黑体" w:eastAsia="黑体"/>
          <w:color w:val="000000"/>
          <w:sz w:val="24"/>
        </w:rPr>
        <w:t>命题考试课程命题与成绩评定</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第七条</w:t>
      </w:r>
      <w:r>
        <w:rPr>
          <w:rFonts w:ascii="宋体" w:hAnsi="宋体"/>
          <w:color w:val="000000"/>
          <w:kern w:val="0"/>
          <w:szCs w:val="21"/>
        </w:rPr>
        <w:t xml:space="preserve">  </w:t>
      </w:r>
      <w:r>
        <w:rPr>
          <w:rFonts w:hint="eastAsia" w:ascii="宋体" w:hAnsi="宋体"/>
          <w:color w:val="000000"/>
          <w:kern w:val="0"/>
          <w:szCs w:val="21"/>
        </w:rPr>
        <w:t>命题考试课程命题要根据学期授课计划和教学大纲、考试大纲规定的范围，制定《湖南财政经济学院课程考试命题双向细目表》，根据双向细目表编制试卷。制定双向细目表的原则是：</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（一）试卷对课程内容的覆盖面大，覆盖率应达到</w:t>
      </w:r>
      <w:r>
        <w:rPr>
          <w:rFonts w:ascii="Times New Roman" w:hAnsi="Times New Roman"/>
          <w:color w:val="000000"/>
          <w:kern w:val="0"/>
          <w:szCs w:val="21"/>
        </w:rPr>
        <w:t>85</w:t>
      </w:r>
      <w:r>
        <w:rPr>
          <w:rFonts w:ascii="宋体" w:hAnsi="宋体"/>
          <w:color w:val="000000"/>
          <w:kern w:val="0"/>
          <w:szCs w:val="21"/>
        </w:rPr>
        <w:t>%</w:t>
      </w:r>
      <w:r>
        <w:rPr>
          <w:rFonts w:hint="eastAsia" w:ascii="宋体" w:hAnsi="宋体"/>
          <w:color w:val="000000"/>
          <w:kern w:val="0"/>
          <w:szCs w:val="21"/>
        </w:rPr>
        <w:t>以上，题量适当，题型多样，分值分配合理；</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（二）试题有一定的难易梯度，能分辨学生学习掌握的情况。试题的难度层次要求基础理论、基础知识、基本技能（以下简称“三基”）部分占</w:t>
      </w:r>
      <w:r>
        <w:rPr>
          <w:rFonts w:ascii="Times New Roman" w:hAnsi="Times New Roman"/>
          <w:color w:val="000000"/>
          <w:kern w:val="0"/>
          <w:szCs w:val="21"/>
        </w:rPr>
        <w:t>60</w:t>
      </w:r>
      <w:r>
        <w:rPr>
          <w:rFonts w:ascii="宋体" w:hAnsi="宋体"/>
          <w:color w:val="000000"/>
          <w:kern w:val="0"/>
          <w:szCs w:val="21"/>
        </w:rPr>
        <w:t>%</w:t>
      </w:r>
      <w:r>
        <w:rPr>
          <w:rFonts w:hint="eastAsia" w:ascii="宋体" w:hAnsi="宋体"/>
          <w:color w:val="000000"/>
          <w:kern w:val="0"/>
          <w:szCs w:val="21"/>
        </w:rPr>
        <w:t>左右，综合性并有一定难度的题占</w:t>
      </w:r>
      <w:r>
        <w:rPr>
          <w:rFonts w:ascii="Times New Roman" w:hAnsi="Times New Roman"/>
          <w:color w:val="000000"/>
          <w:kern w:val="0"/>
          <w:szCs w:val="21"/>
        </w:rPr>
        <w:t>30</w:t>
      </w:r>
      <w:r>
        <w:rPr>
          <w:rFonts w:ascii="宋体" w:hAnsi="宋体"/>
          <w:color w:val="000000"/>
          <w:kern w:val="0"/>
          <w:szCs w:val="21"/>
        </w:rPr>
        <w:t>%</w:t>
      </w:r>
      <w:r>
        <w:rPr>
          <w:rFonts w:hint="eastAsia" w:ascii="宋体" w:hAnsi="宋体"/>
          <w:color w:val="000000"/>
          <w:kern w:val="0"/>
          <w:szCs w:val="21"/>
        </w:rPr>
        <w:t>左右，较高要求并有相当难度的题占</w:t>
      </w:r>
      <w:r>
        <w:rPr>
          <w:rFonts w:ascii="Times New Roman" w:hAnsi="Times New Roman"/>
          <w:color w:val="000000"/>
          <w:kern w:val="0"/>
          <w:szCs w:val="21"/>
        </w:rPr>
        <w:t>10</w:t>
      </w:r>
      <w:r>
        <w:rPr>
          <w:rFonts w:ascii="宋体" w:hAnsi="宋体"/>
          <w:color w:val="000000"/>
          <w:kern w:val="0"/>
          <w:szCs w:val="21"/>
        </w:rPr>
        <w:t>%</w:t>
      </w:r>
      <w:r>
        <w:rPr>
          <w:rFonts w:hint="eastAsia" w:ascii="宋体" w:hAnsi="宋体"/>
          <w:color w:val="000000"/>
          <w:kern w:val="0"/>
          <w:szCs w:val="21"/>
        </w:rPr>
        <w:t>左右（每门课程可根据实际情况适当调整比例）。</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第八条</w:t>
      </w:r>
      <w:r>
        <w:rPr>
          <w:rFonts w:ascii="宋体" w:hAnsi="宋体"/>
          <w:color w:val="000000"/>
          <w:kern w:val="0"/>
          <w:szCs w:val="21"/>
        </w:rPr>
        <w:t xml:space="preserve">  </w:t>
      </w:r>
      <w:r>
        <w:rPr>
          <w:rFonts w:hint="eastAsia" w:ascii="宋体" w:hAnsi="宋体"/>
          <w:color w:val="000000"/>
          <w:kern w:val="0"/>
          <w:szCs w:val="21"/>
        </w:rPr>
        <w:t>正确掌握命题范围与内容。命题考试试题必须以本科人才培养方案和课程教学大纲、考试大纲为依据，但不应局限于教材和课堂教学中教师讲授的范围，还应包括相关参考书的有关内容，最大限度地拓展学生的知识面，注重知识的迁移和综合应用。命题要体现本课程的教学目的，重点突出知识的应用性和实践性。试题内容既要考核学生对基础理论、基础知识掌握的深度、广度和对基本技能掌握的熟练程度，又要考核学生融会贯通，综合运用所学知识分析问题和解决问题的能力，特别要注重考题对启发学生创新思维和培养学生实践能力的引导作用。</w:t>
      </w:r>
    </w:p>
    <w:p>
      <w:pPr>
        <w:spacing w:line="360" w:lineRule="exact"/>
        <w:ind w:firstLine="422" w:firstLineChars="200"/>
        <w:jc w:val="left"/>
        <w:rPr>
          <w:rFonts w:ascii="宋体"/>
          <w:color w:val="000000"/>
          <w:kern w:val="0"/>
          <w:szCs w:val="21"/>
        </w:rPr>
      </w:pPr>
      <w:r>
        <w:rPr>
          <w:rFonts w:hint="eastAsia" w:ascii="宋体" w:hAnsi="宋体"/>
          <w:b/>
          <w:color w:val="000000"/>
          <w:kern w:val="0"/>
          <w:szCs w:val="21"/>
        </w:rPr>
        <w:t>第九条</w:t>
      </w:r>
      <w:r>
        <w:rPr>
          <w:rFonts w:ascii="宋体" w:hAnsi="宋体"/>
          <w:color w:val="000000"/>
          <w:kern w:val="0"/>
          <w:szCs w:val="21"/>
        </w:rPr>
        <w:t xml:space="preserve">  </w:t>
      </w:r>
      <w:r>
        <w:rPr>
          <w:rFonts w:hint="eastAsia" w:ascii="宋体" w:hAnsi="宋体"/>
          <w:color w:val="000000"/>
          <w:kern w:val="0"/>
          <w:szCs w:val="21"/>
        </w:rPr>
        <w:t>各二级学院须重视试题库和试卷库的建设工作。通识教育课、专业（</w:t>
      </w:r>
      <w:r>
        <w:rPr>
          <w:rFonts w:ascii="宋体" w:hAnsi="宋体"/>
          <w:color w:val="000000"/>
          <w:kern w:val="0"/>
          <w:szCs w:val="21"/>
        </w:rPr>
        <w:t>学科）</w:t>
      </w:r>
      <w:r>
        <w:rPr>
          <w:rFonts w:hint="eastAsia" w:ascii="宋体" w:hAnsi="宋体"/>
          <w:color w:val="000000"/>
          <w:kern w:val="0"/>
          <w:szCs w:val="21"/>
        </w:rPr>
        <w:t>基础课和内容相对稳定的专业必修课应建立试题库或试卷库。其它课程在条件具备的情况下也应建立试题库或试卷库。对已建立的试题库和试卷库应做好维护与更新，确保与现行教学大纲、考试大纲相符。每次抽卷时试卷库内的试卷有</w:t>
      </w:r>
      <w:r>
        <w:rPr>
          <w:rFonts w:ascii="Times New Roman" w:hAnsi="Times New Roman"/>
          <w:color w:val="000000"/>
          <w:kern w:val="0"/>
          <w:szCs w:val="21"/>
        </w:rPr>
        <w:t>10</w:t>
      </w:r>
      <w:r>
        <w:rPr>
          <w:rFonts w:hint="eastAsia" w:ascii="宋体" w:hAnsi="宋体"/>
          <w:color w:val="000000"/>
          <w:kern w:val="0"/>
          <w:szCs w:val="21"/>
        </w:rPr>
        <w:t>套以上，没</w:t>
      </w:r>
      <w:r>
        <w:rPr>
          <w:rFonts w:ascii="宋体" w:hAnsi="宋体"/>
          <w:color w:val="000000"/>
          <w:kern w:val="0"/>
          <w:szCs w:val="21"/>
        </w:rPr>
        <w:t>有建立</w:t>
      </w:r>
      <w:r>
        <w:rPr>
          <w:rFonts w:hint="eastAsia" w:ascii="宋体" w:hAnsi="宋体"/>
          <w:color w:val="000000"/>
          <w:kern w:val="0"/>
          <w:szCs w:val="21"/>
        </w:rPr>
        <w:t>试卷库</w:t>
      </w:r>
      <w:r>
        <w:rPr>
          <w:rFonts w:ascii="宋体" w:hAnsi="宋体"/>
          <w:color w:val="000000"/>
          <w:kern w:val="0"/>
          <w:szCs w:val="21"/>
        </w:rPr>
        <w:t>或</w:t>
      </w:r>
      <w:r>
        <w:rPr>
          <w:rFonts w:hint="eastAsia" w:ascii="宋体" w:hAnsi="宋体"/>
          <w:color w:val="000000"/>
          <w:kern w:val="0"/>
          <w:szCs w:val="21"/>
        </w:rPr>
        <w:t>试题</w:t>
      </w:r>
      <w:r>
        <w:rPr>
          <w:rFonts w:ascii="宋体" w:hAnsi="宋体"/>
          <w:color w:val="000000"/>
          <w:kern w:val="0"/>
          <w:szCs w:val="21"/>
        </w:rPr>
        <w:t>库</w:t>
      </w:r>
      <w:r>
        <w:rPr>
          <w:rFonts w:hint="eastAsia" w:ascii="宋体" w:hAnsi="宋体"/>
          <w:color w:val="000000"/>
          <w:kern w:val="0"/>
          <w:szCs w:val="21"/>
        </w:rPr>
        <w:t>的课程每次考试要提供</w:t>
      </w:r>
      <w:r>
        <w:rPr>
          <w:rFonts w:ascii="宋体" w:hAnsi="宋体"/>
          <w:color w:val="000000"/>
          <w:kern w:val="0"/>
          <w:szCs w:val="21"/>
        </w:rPr>
        <w:t>A</w:t>
      </w:r>
      <w:r>
        <w:rPr>
          <w:rFonts w:hint="eastAsia" w:ascii="宋体" w:hAnsi="宋体"/>
          <w:color w:val="000000"/>
          <w:kern w:val="0"/>
          <w:szCs w:val="21"/>
        </w:rPr>
        <w:t>、</w:t>
      </w:r>
      <w:r>
        <w:rPr>
          <w:rFonts w:ascii="宋体" w:hAnsi="宋体"/>
          <w:color w:val="000000"/>
          <w:kern w:val="0"/>
          <w:szCs w:val="21"/>
        </w:rPr>
        <w:t>B</w:t>
      </w:r>
      <w:r>
        <w:rPr>
          <w:rFonts w:hint="eastAsia" w:ascii="宋体" w:hAnsi="宋体"/>
          <w:color w:val="000000"/>
          <w:kern w:val="0"/>
          <w:szCs w:val="21"/>
        </w:rPr>
        <w:t>两套试卷。试卷库试卷和</w:t>
      </w:r>
      <w:r>
        <w:rPr>
          <w:rFonts w:ascii="宋体" w:hAnsi="宋体"/>
          <w:color w:val="000000"/>
          <w:kern w:val="0"/>
          <w:szCs w:val="21"/>
        </w:rPr>
        <w:t>A</w:t>
      </w:r>
      <w:r>
        <w:rPr>
          <w:rFonts w:hint="eastAsia" w:ascii="宋体" w:hAnsi="宋体"/>
          <w:color w:val="000000"/>
          <w:kern w:val="0"/>
          <w:szCs w:val="21"/>
        </w:rPr>
        <w:t>、</w:t>
      </w:r>
      <w:r>
        <w:rPr>
          <w:rFonts w:ascii="宋体" w:hAnsi="宋体"/>
          <w:color w:val="000000"/>
          <w:kern w:val="0"/>
          <w:szCs w:val="21"/>
        </w:rPr>
        <w:t>B</w:t>
      </w:r>
      <w:r>
        <w:rPr>
          <w:rFonts w:hint="eastAsia" w:ascii="宋体" w:hAnsi="宋体"/>
          <w:color w:val="000000"/>
          <w:kern w:val="0"/>
          <w:szCs w:val="21"/>
        </w:rPr>
        <w:t>试卷在命题时应保证覆盖面、试题份量、难易程度相当，不同试卷试题重复率不得超过</w:t>
      </w:r>
      <w:r>
        <w:rPr>
          <w:rFonts w:ascii="Times New Roman" w:hAnsi="Times New Roman"/>
          <w:color w:val="000000"/>
          <w:kern w:val="0"/>
          <w:szCs w:val="21"/>
        </w:rPr>
        <w:t>15</w:t>
      </w:r>
      <w:r>
        <w:rPr>
          <w:rFonts w:ascii="宋体" w:hAnsi="宋体"/>
          <w:color w:val="000000"/>
          <w:kern w:val="0"/>
          <w:szCs w:val="21"/>
        </w:rPr>
        <w:t>%</w:t>
      </w:r>
      <w:r>
        <w:rPr>
          <w:rFonts w:hint="eastAsia" w:ascii="宋体" w:hAnsi="宋体"/>
          <w:color w:val="000000"/>
          <w:kern w:val="0"/>
          <w:szCs w:val="21"/>
        </w:rPr>
        <w:t>，同时，本年度试卷与前两年试卷重复率也不得超过</w:t>
      </w:r>
      <w:r>
        <w:rPr>
          <w:rFonts w:ascii="Times New Roman" w:hAnsi="Times New Roman"/>
          <w:color w:val="000000"/>
          <w:kern w:val="0"/>
          <w:szCs w:val="21"/>
        </w:rPr>
        <w:t>15</w:t>
      </w:r>
      <w:r>
        <w:rPr>
          <w:rFonts w:ascii="宋体" w:hAnsi="宋体"/>
          <w:color w:val="000000"/>
          <w:kern w:val="0"/>
          <w:szCs w:val="21"/>
        </w:rPr>
        <w:t>%</w:t>
      </w:r>
      <w:r>
        <w:rPr>
          <w:rFonts w:hint="eastAsia" w:ascii="宋体" w:hAnsi="宋体"/>
          <w:color w:val="000000"/>
          <w:kern w:val="0"/>
          <w:szCs w:val="21"/>
        </w:rPr>
        <w:t>。试题要严谨明确，避免产生多义、歧义或误解的情况。试卷插图要准确、清楚。出卷教师填写《湖南财政经济学院课程考试命题审定单》，经系</w:t>
      </w:r>
      <w:r>
        <w:rPr>
          <w:rFonts w:ascii="宋体" w:hAnsi="宋体"/>
          <w:color w:val="000000"/>
          <w:kern w:val="0"/>
          <w:szCs w:val="21"/>
        </w:rPr>
        <w:t>（</w:t>
      </w:r>
      <w:r>
        <w:rPr>
          <w:rFonts w:hint="eastAsia" w:ascii="宋体" w:hAnsi="宋体"/>
          <w:color w:val="000000"/>
          <w:kern w:val="0"/>
          <w:szCs w:val="21"/>
        </w:rPr>
        <w:t>教研室）主任和教学副院长审查并签字。</w:t>
      </w:r>
    </w:p>
    <w:p>
      <w:pPr>
        <w:spacing w:line="360" w:lineRule="exact"/>
        <w:ind w:firstLine="413" w:firstLineChars="196"/>
        <w:rPr>
          <w:rFonts w:ascii="宋体"/>
          <w:color w:val="000000"/>
          <w:kern w:val="0"/>
          <w:szCs w:val="21"/>
        </w:rPr>
      </w:pPr>
      <w:r>
        <w:rPr>
          <w:rFonts w:hint="eastAsia" w:ascii="宋体" w:hAnsi="宋体"/>
          <w:b/>
          <w:color w:val="000000"/>
          <w:kern w:val="0"/>
          <w:szCs w:val="21"/>
        </w:rPr>
        <w:t>第十条</w:t>
      </w:r>
      <w:r>
        <w:rPr>
          <w:rFonts w:ascii="宋体" w:hAnsi="宋体"/>
          <w:color w:val="000000"/>
          <w:kern w:val="0"/>
          <w:szCs w:val="21"/>
        </w:rPr>
        <w:t xml:space="preserve">  </w:t>
      </w:r>
      <w:r>
        <w:rPr>
          <w:rFonts w:hint="eastAsia" w:ascii="宋体" w:hAnsi="宋体"/>
          <w:color w:val="000000"/>
          <w:kern w:val="0"/>
          <w:szCs w:val="21"/>
        </w:rPr>
        <w:t>试卷制作要按照《湖南财政经济学院考试试题主要类型及格式、版面要求》、《湖南财政经济学院试卷模板》和《湖南财政经济学院答题卷模板》制作，试题拟定后，须制定参考答案和评分细则（主观题应提供“答案要点及要点评分标准”）。评分标准应合理公允，便于把握，对答题的每个要点应分别给出评分要求。</w:t>
      </w:r>
    </w:p>
    <w:p>
      <w:pPr>
        <w:shd w:val="clear" w:color="auto" w:fill="FFFFFF"/>
        <w:adjustRightInd w:val="0"/>
        <w:snapToGrid w:val="0"/>
        <w:spacing w:line="360" w:lineRule="exact"/>
        <w:ind w:firstLine="420"/>
        <w:jc w:val="left"/>
        <w:rPr>
          <w:rFonts w:ascii="宋体" w:hAnsi="宋体"/>
          <w:color w:val="000000"/>
          <w:kern w:val="0"/>
          <w:szCs w:val="21"/>
        </w:rPr>
      </w:pPr>
      <w:r>
        <w:rPr>
          <w:rFonts w:hint="eastAsia" w:ascii="宋体" w:hAnsi="宋体"/>
          <w:b/>
          <w:color w:val="000000"/>
          <w:kern w:val="0"/>
          <w:szCs w:val="21"/>
        </w:rPr>
        <w:t>第十一条</w:t>
      </w:r>
      <w:r>
        <w:rPr>
          <w:rFonts w:ascii="宋体" w:hAnsi="宋体"/>
          <w:color w:val="000000"/>
          <w:kern w:val="0"/>
          <w:szCs w:val="21"/>
        </w:rPr>
        <w:t xml:space="preserve">  </w:t>
      </w:r>
      <w:r>
        <w:rPr>
          <w:rFonts w:hint="eastAsia" w:ascii="宋体" w:hAnsi="宋体"/>
          <w:color w:val="000000"/>
          <w:kern w:val="0"/>
          <w:szCs w:val="21"/>
        </w:rPr>
        <w:t>听力考试的命题及成绩评定参照笔试的相关规定执行。</w:t>
      </w:r>
    </w:p>
    <w:p>
      <w:pPr>
        <w:shd w:val="clear" w:color="auto" w:fill="FFFFFF"/>
        <w:adjustRightInd w:val="0"/>
        <w:snapToGrid w:val="0"/>
        <w:spacing w:line="360" w:lineRule="exact"/>
        <w:ind w:firstLine="420"/>
        <w:jc w:val="left"/>
        <w:rPr>
          <w:rFonts w:ascii="宋体" w:hAnsi="宋体"/>
          <w:color w:val="000000"/>
          <w:kern w:val="0"/>
          <w:szCs w:val="21"/>
        </w:rPr>
      </w:pPr>
      <w:r>
        <w:rPr>
          <w:rFonts w:hint="eastAsia" w:ascii="宋体" w:hAnsi="宋体"/>
          <w:color w:val="000000"/>
          <w:kern w:val="0"/>
          <w:szCs w:val="21"/>
        </w:rPr>
        <w:t>采用机试的课程应通过试题库组卷。试题库的考题数量必须足够多，能随机组卷20套以上。组出的试卷必须符合教学大纲和考试大纲的要求，覆盖面广，能考核学生对本课程“三基”的掌握程度及分析问题、解决问题的能力。并且要定期更新试题库的内容，以适应考试大纲的变化。</w:t>
      </w:r>
    </w:p>
    <w:p>
      <w:pPr>
        <w:shd w:val="clear" w:color="auto" w:fill="FFFFFF"/>
        <w:adjustRightInd w:val="0"/>
        <w:snapToGrid w:val="0"/>
        <w:spacing w:line="360" w:lineRule="exact"/>
        <w:ind w:firstLine="420"/>
        <w:jc w:val="left"/>
        <w:rPr>
          <w:rFonts w:ascii="宋体" w:hAnsi="宋体"/>
          <w:color w:val="000000"/>
          <w:kern w:val="0"/>
          <w:szCs w:val="21"/>
        </w:rPr>
      </w:pPr>
      <w:r>
        <w:rPr>
          <w:rFonts w:hint="eastAsia" w:ascii="宋体" w:hAnsi="宋体"/>
          <w:color w:val="000000"/>
          <w:kern w:val="0"/>
          <w:szCs w:val="21"/>
        </w:rPr>
        <w:t>音乐类专业的面试须由指导教师有针对性地选择适当曲目提前准备练习。曲目应符合学生个人特点、能反映学生技能掌握程度。声乐、器乐、钢琴面试须背谱演唱（演奏）。面试现场评分教师不得少于3人。</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第十二条</w:t>
      </w:r>
      <w:r>
        <w:rPr>
          <w:rFonts w:ascii="宋体" w:hAnsi="宋体"/>
          <w:color w:val="000000"/>
          <w:kern w:val="0"/>
          <w:szCs w:val="21"/>
        </w:rPr>
        <w:t xml:space="preserve">  </w:t>
      </w:r>
      <w:r>
        <w:rPr>
          <w:rFonts w:hint="eastAsia" w:ascii="宋体" w:hAnsi="宋体"/>
          <w:color w:val="000000"/>
          <w:kern w:val="0"/>
          <w:szCs w:val="21"/>
        </w:rPr>
        <w:t>试卷评分细则要求科学、合理、规范；阅卷人必须严格按照事先确定的评分细则评卷，做到公平、公正、无误。</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第十三条</w:t>
      </w:r>
      <w:r>
        <w:rPr>
          <w:rFonts w:ascii="宋体" w:hAnsi="宋体"/>
          <w:color w:val="000000"/>
          <w:kern w:val="0"/>
          <w:szCs w:val="21"/>
        </w:rPr>
        <w:t xml:space="preserve">  </w:t>
      </w:r>
      <w:r>
        <w:rPr>
          <w:rFonts w:hint="eastAsia" w:ascii="宋体" w:hAnsi="宋体"/>
          <w:color w:val="000000"/>
          <w:kern w:val="0"/>
          <w:szCs w:val="21"/>
        </w:rPr>
        <w:t>有两人以上（含两人）教师分班任教的命题考试课程，要求统一考试时间，并采用流水作业的方式集中阅卷。</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第十四条</w:t>
      </w:r>
      <w:r>
        <w:rPr>
          <w:rFonts w:ascii="宋体" w:hAnsi="宋体"/>
          <w:color w:val="000000"/>
          <w:kern w:val="0"/>
          <w:szCs w:val="21"/>
        </w:rPr>
        <w:t xml:space="preserve">  </w:t>
      </w:r>
      <w:r>
        <w:rPr>
          <w:rFonts w:hint="eastAsia" w:ascii="宋体" w:hAnsi="宋体"/>
          <w:color w:val="000000"/>
          <w:kern w:val="0"/>
          <w:szCs w:val="21"/>
        </w:rPr>
        <w:t>试卷评卷细则。</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所有试卷一律用红笔批阅与签名（不能是红色铅笔）；</w:t>
      </w:r>
    </w:p>
    <w:p>
      <w:pPr>
        <w:shd w:val="clear" w:color="auto" w:fill="FFFFFF"/>
        <w:adjustRightInd w:val="0"/>
        <w:snapToGrid w:val="0"/>
        <w:spacing w:line="360" w:lineRule="exact"/>
        <w:ind w:firstLine="420" w:firstLineChars="200"/>
        <w:jc w:val="left"/>
        <w:rPr>
          <w:rFonts w:hint="eastAsia" w:ascii="宋体" w:hAnsi="宋体" w:eastAsia="宋体"/>
          <w:color w:val="000000"/>
          <w:kern w:val="0"/>
          <w:szCs w:val="21"/>
          <w:lang w:eastAsia="zh-CN"/>
        </w:rPr>
      </w:pPr>
      <w:r>
        <w:rPr>
          <w:rFonts w:ascii="宋体" w:hAnsi="宋体"/>
          <w:color w:val="000000"/>
          <w:kern w:val="0"/>
          <w:szCs w:val="21"/>
        </w:rPr>
        <w:t>2.</w:t>
      </w:r>
      <w:r>
        <w:rPr>
          <w:rFonts w:hint="eastAsia" w:ascii="宋体" w:hAnsi="宋体"/>
          <w:color w:val="000000"/>
          <w:kern w:val="0"/>
          <w:szCs w:val="21"/>
        </w:rPr>
        <w:t>评阅教师要严格按照参考答案和评分细则评阅试卷，做到客观、公正，尺度适中，记分恰当，合分准确，签名规范。试卷评阅责任人签名表的相应位置及每册第一份答卷卷</w:t>
      </w:r>
      <w:r>
        <w:rPr>
          <w:rFonts w:ascii="宋体" w:hAnsi="宋体"/>
          <w:color w:val="000000"/>
          <w:kern w:val="0"/>
          <w:szCs w:val="21"/>
        </w:rPr>
        <w:t>首</w:t>
      </w:r>
      <w:r>
        <w:rPr>
          <w:rFonts w:hint="eastAsia" w:ascii="宋体" w:hAnsi="宋体"/>
          <w:color w:val="000000"/>
          <w:kern w:val="0"/>
          <w:szCs w:val="21"/>
        </w:rPr>
        <w:t>的相应位置签署评卷教师、合</w:t>
      </w:r>
      <w:r>
        <w:rPr>
          <w:rFonts w:ascii="宋体" w:hAnsi="宋体"/>
          <w:color w:val="000000"/>
          <w:kern w:val="0"/>
          <w:szCs w:val="21"/>
        </w:rPr>
        <w:t>分</w:t>
      </w:r>
      <w:r>
        <w:rPr>
          <w:rFonts w:hint="eastAsia" w:ascii="宋体" w:hAnsi="宋体"/>
          <w:color w:val="000000"/>
          <w:kern w:val="0"/>
          <w:szCs w:val="21"/>
        </w:rPr>
        <w:t>教师和复核教师全名，其余</w:t>
      </w:r>
      <w:r>
        <w:rPr>
          <w:rFonts w:ascii="宋体" w:hAnsi="宋体"/>
          <w:color w:val="000000"/>
          <w:kern w:val="0"/>
          <w:szCs w:val="21"/>
        </w:rPr>
        <w:t>答卷相应位置可只签署</w:t>
      </w:r>
      <w:r>
        <w:rPr>
          <w:rFonts w:hint="eastAsia" w:ascii="宋体" w:hAnsi="宋体"/>
          <w:color w:val="000000"/>
          <w:kern w:val="0"/>
          <w:szCs w:val="21"/>
        </w:rPr>
        <w:t>本人</w:t>
      </w:r>
      <w:r>
        <w:rPr>
          <w:rFonts w:ascii="宋体" w:hAnsi="宋体"/>
          <w:color w:val="000000"/>
          <w:kern w:val="0"/>
          <w:szCs w:val="21"/>
        </w:rPr>
        <w:t>姓氏，</w:t>
      </w:r>
      <w:r>
        <w:rPr>
          <w:rFonts w:hint="eastAsia" w:ascii="宋体" w:hAnsi="宋体"/>
          <w:color w:val="000000"/>
          <w:kern w:val="0"/>
          <w:szCs w:val="21"/>
        </w:rPr>
        <w:t>流水作业要有不同的教师签名，所有签名不能代签；复核教师若发现首评有误，要及时更正并在更正处签署评阅教师</w:t>
      </w:r>
      <w:r>
        <w:rPr>
          <w:rFonts w:ascii="宋体" w:hAnsi="宋体"/>
          <w:color w:val="000000"/>
          <w:kern w:val="0"/>
          <w:szCs w:val="21"/>
        </w:rPr>
        <w:t>和复核教师</w:t>
      </w:r>
      <w:r>
        <w:rPr>
          <w:rFonts w:hint="eastAsia" w:ascii="宋体" w:hAnsi="宋体"/>
          <w:color w:val="000000"/>
          <w:kern w:val="0"/>
          <w:szCs w:val="21"/>
        </w:rPr>
        <w:t>全名</w:t>
      </w:r>
      <w:r>
        <w:rPr>
          <w:rFonts w:hint="eastAsia" w:ascii="宋体" w:hAnsi="宋体"/>
          <w:color w:val="000000"/>
          <w:kern w:val="0"/>
          <w:szCs w:val="21"/>
          <w:lang w:eastAsia="zh-CN"/>
        </w:rPr>
        <w:t>。</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ascii="宋体" w:hAnsi="宋体"/>
          <w:color w:val="000000"/>
          <w:kern w:val="0"/>
          <w:szCs w:val="21"/>
        </w:rPr>
        <w:t>3.</w:t>
      </w:r>
      <w:r>
        <w:rPr>
          <w:rFonts w:hint="eastAsia" w:ascii="宋体" w:hAnsi="宋体"/>
          <w:color w:val="000000"/>
          <w:kern w:val="0"/>
          <w:szCs w:val="21"/>
        </w:rPr>
        <w:t>试卷分数必须计正分。选择、填空、判断等客观题型，正确的打“√”，错误的打“×”，无需在小题旁给出相应的得分，不得出现其它随意性分数。问答、计算、应用、综合等主观题型，要给出知识点分和</w:t>
      </w:r>
      <w:r>
        <w:rPr>
          <w:rFonts w:ascii="宋体" w:hAnsi="宋体"/>
          <w:color w:val="000000"/>
          <w:kern w:val="0"/>
          <w:szCs w:val="21"/>
        </w:rPr>
        <w:t>小题分</w:t>
      </w:r>
      <w:r>
        <w:rPr>
          <w:rFonts w:hint="eastAsia" w:ascii="宋体" w:hAnsi="宋体"/>
          <w:color w:val="000000"/>
          <w:kern w:val="0"/>
          <w:szCs w:val="21"/>
        </w:rPr>
        <w:t>。</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4</w:t>
      </w:r>
      <w:r>
        <w:rPr>
          <w:rFonts w:ascii="宋体" w:hAnsi="宋体"/>
          <w:color w:val="000000"/>
          <w:kern w:val="0"/>
          <w:szCs w:val="21"/>
        </w:rPr>
        <w:t>.</w:t>
      </w:r>
      <w:r>
        <w:rPr>
          <w:rFonts w:hint="eastAsia" w:ascii="宋体" w:hAnsi="宋体"/>
          <w:color w:val="000000"/>
          <w:kern w:val="0"/>
          <w:szCs w:val="21"/>
        </w:rPr>
        <w:t>试卷</w:t>
      </w:r>
      <w:r>
        <w:rPr>
          <w:rFonts w:hint="eastAsia" w:ascii="宋体" w:hAnsi="宋体"/>
          <w:color w:val="000000"/>
          <w:kern w:val="0"/>
          <w:szCs w:val="21"/>
          <w:lang w:eastAsia="zh-CN"/>
        </w:rPr>
        <w:t>主观题</w:t>
      </w:r>
      <w:r>
        <w:rPr>
          <w:rFonts w:hint="eastAsia" w:ascii="宋体" w:hAnsi="宋体"/>
          <w:color w:val="000000"/>
          <w:kern w:val="0"/>
          <w:szCs w:val="21"/>
        </w:rPr>
        <w:t>记分必须同时记有卷首分、题首分、小题分和知识点分</w:t>
      </w:r>
      <w:r>
        <w:rPr>
          <w:rFonts w:hint="eastAsia" w:ascii="宋体" w:hAnsi="宋体"/>
          <w:color w:val="000000"/>
          <w:kern w:val="0"/>
          <w:szCs w:val="21"/>
          <w:lang w:eastAsia="zh-CN"/>
        </w:rPr>
        <w:t>，客观性题仅需</w:t>
      </w:r>
      <w:r>
        <w:rPr>
          <w:rFonts w:hint="eastAsia" w:ascii="宋体" w:hAnsi="宋体"/>
          <w:color w:val="000000"/>
          <w:kern w:val="0"/>
          <w:szCs w:val="21"/>
        </w:rPr>
        <w:t>有卷首分、题首分。卷首分、题首分都直接用数字标示，如：“</w:t>
      </w:r>
      <w:r>
        <w:rPr>
          <w:rFonts w:ascii="Times New Roman" w:hAnsi="Times New Roman"/>
          <w:color w:val="000000"/>
          <w:kern w:val="0"/>
          <w:szCs w:val="21"/>
        </w:rPr>
        <w:t>9</w:t>
      </w:r>
      <w:r>
        <w:rPr>
          <w:rFonts w:hint="eastAsia" w:ascii="宋体" w:hAnsi="宋体"/>
          <w:color w:val="000000"/>
          <w:kern w:val="0"/>
          <w:szCs w:val="21"/>
        </w:rPr>
        <w:t>”；主观题的每个小题要根据知识点打分，知识点得分直接用数字</w:t>
      </w:r>
      <w:r>
        <w:rPr>
          <w:rFonts w:ascii="宋体" w:hAnsi="宋体"/>
          <w:color w:val="000000"/>
          <w:kern w:val="0"/>
          <w:szCs w:val="21"/>
        </w:rPr>
        <w:t>表示，如</w:t>
      </w:r>
      <w:r>
        <w:rPr>
          <w:rFonts w:hint="eastAsia" w:ascii="宋体" w:hAnsi="宋体"/>
          <w:color w:val="000000"/>
          <w:kern w:val="0"/>
          <w:szCs w:val="21"/>
        </w:rPr>
        <w:t>：“2”</w:t>
      </w:r>
      <w:r>
        <w:rPr>
          <w:rFonts w:hint="eastAsia" w:ascii="宋体" w:hAnsi="宋体"/>
          <w:color w:val="000000"/>
          <w:kern w:val="0"/>
          <w:szCs w:val="21"/>
          <w:lang w:eastAsia="zh-CN"/>
        </w:rPr>
        <w:t>，</w:t>
      </w:r>
      <w:r>
        <w:rPr>
          <w:rFonts w:hint="eastAsia" w:ascii="宋体" w:hAnsi="宋体"/>
          <w:color w:val="000000"/>
          <w:kern w:val="0"/>
          <w:szCs w:val="21"/>
        </w:rPr>
        <w:t>小</w:t>
      </w:r>
      <w:r>
        <w:rPr>
          <w:rFonts w:ascii="宋体" w:hAnsi="宋体"/>
          <w:color w:val="000000"/>
          <w:kern w:val="0"/>
          <w:szCs w:val="21"/>
        </w:rPr>
        <w:t>题分用数字加圈</w:t>
      </w:r>
      <w:r>
        <w:rPr>
          <w:rFonts w:hint="eastAsia" w:ascii="宋体" w:hAnsi="宋体"/>
          <w:color w:val="000000"/>
          <w:kern w:val="0"/>
          <w:szCs w:val="21"/>
        </w:rPr>
        <w:t>表示</w:t>
      </w:r>
      <w:r>
        <w:rPr>
          <w:rFonts w:ascii="宋体" w:hAnsi="宋体"/>
          <w:color w:val="000000"/>
          <w:kern w:val="0"/>
          <w:szCs w:val="21"/>
        </w:rPr>
        <w:t>，如：</w:t>
      </w:r>
      <w:r>
        <w:rPr>
          <w:rFonts w:hint="eastAsia" w:ascii="宋体" w:hAnsi="宋体"/>
          <w:color w:val="000000"/>
          <w:kern w:val="0"/>
          <w:szCs w:val="21"/>
        </w:rPr>
        <w:t>“④”；卷首分统一记在卷首记分栏，题首分统一记在题首的记分栏，小题分记在每道题目的标题前，知识点分记在每项知识点后。</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第十五条</w:t>
      </w:r>
      <w:r>
        <w:rPr>
          <w:rFonts w:ascii="宋体" w:hAnsi="宋体"/>
          <w:color w:val="000000"/>
          <w:kern w:val="0"/>
          <w:szCs w:val="21"/>
        </w:rPr>
        <w:t xml:space="preserve">  </w:t>
      </w:r>
      <w:r>
        <w:rPr>
          <w:rFonts w:hint="eastAsia" w:ascii="宋体" w:hAnsi="宋体"/>
          <w:color w:val="000000"/>
          <w:kern w:val="0"/>
          <w:szCs w:val="21"/>
        </w:rPr>
        <w:t>对卷面成绩出现超过</w:t>
      </w:r>
      <w:r>
        <w:rPr>
          <w:rFonts w:ascii="Times New Roman" w:hAnsi="Times New Roman"/>
          <w:color w:val="000000"/>
          <w:kern w:val="0"/>
          <w:szCs w:val="21"/>
        </w:rPr>
        <w:t>30</w:t>
      </w:r>
      <w:r>
        <w:rPr>
          <w:rFonts w:ascii="宋体" w:hAnsi="宋体"/>
          <w:color w:val="000000"/>
          <w:kern w:val="0"/>
          <w:szCs w:val="21"/>
        </w:rPr>
        <w:t>%</w:t>
      </w:r>
      <w:r>
        <w:rPr>
          <w:rFonts w:hint="eastAsia" w:ascii="宋体" w:hAnsi="宋体"/>
          <w:color w:val="000000"/>
          <w:kern w:val="0"/>
          <w:szCs w:val="21"/>
        </w:rPr>
        <w:t>以上不及格或</w:t>
      </w:r>
      <w:r>
        <w:rPr>
          <w:rFonts w:ascii="Times New Roman" w:hAnsi="Times New Roman"/>
          <w:color w:val="000000"/>
          <w:kern w:val="0"/>
          <w:szCs w:val="21"/>
        </w:rPr>
        <w:t>80</w:t>
      </w:r>
      <w:r>
        <w:rPr>
          <w:rFonts w:ascii="宋体" w:hAnsi="宋体"/>
          <w:color w:val="000000"/>
          <w:kern w:val="0"/>
          <w:szCs w:val="21"/>
        </w:rPr>
        <w:t>%</w:t>
      </w:r>
      <w:r>
        <w:rPr>
          <w:rFonts w:hint="eastAsia" w:ascii="宋体" w:hAnsi="宋体"/>
          <w:color w:val="000000"/>
          <w:kern w:val="0"/>
          <w:szCs w:val="21"/>
        </w:rPr>
        <w:t>以上学生成绩为优秀的情况，要立即向二级学院院长报告，查找原因，学生成绩暂不得公布和网上录入。确因试卷难度或题量偏大（或偏小）造成大面积学生考核成绩分布不合理时，应提出重考或对该课程成绩作加权处理等整改方案。课程重考或对课程成绩作加权处理的方案必须经过教务处批准，作好相关记录。经批准后，按整改方案实施结果登录学生成绩，并将批复连同试卷一并归档。二级学院不可擅自组织重考或作加权处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第十六条</w:t>
      </w:r>
      <w:r>
        <w:rPr>
          <w:rFonts w:ascii="宋体" w:hAnsi="宋体"/>
          <w:color w:val="000000"/>
          <w:kern w:val="0"/>
          <w:szCs w:val="21"/>
        </w:rPr>
        <w:t xml:space="preserve">  </w:t>
      </w:r>
      <w:r>
        <w:rPr>
          <w:rFonts w:hint="eastAsia" w:ascii="宋体" w:hAnsi="宋体"/>
          <w:color w:val="000000"/>
          <w:kern w:val="0"/>
          <w:szCs w:val="21"/>
        </w:rPr>
        <w:t>对不按照课程教学大纲教学或不按照考试大纲要求进行考核而出现的学生课程成绩分布极不合理，导致课程重考等现象，学校将组织专家对任课教师进行课程教学质量专项鉴定，若确属教师责任，将追究当事者的责任，并作为教学事故处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第十七条</w:t>
      </w:r>
      <w:r>
        <w:rPr>
          <w:rFonts w:ascii="宋体" w:hAnsi="宋体"/>
          <w:color w:val="000000"/>
          <w:kern w:val="0"/>
          <w:szCs w:val="21"/>
        </w:rPr>
        <w:t xml:space="preserve">  </w:t>
      </w:r>
      <w:r>
        <w:rPr>
          <w:rFonts w:hint="eastAsia" w:ascii="宋体" w:hAnsi="宋体"/>
          <w:color w:val="000000"/>
          <w:kern w:val="0"/>
          <w:szCs w:val="21"/>
        </w:rPr>
        <w:t>命题考试课程按百分制评定成绩，总评成绩由课程结业考试成绩和平时成绩按</w:t>
      </w:r>
      <w:r>
        <w:rPr>
          <w:rFonts w:ascii="宋体" w:hAnsi="宋体"/>
          <w:color w:val="000000"/>
          <w:kern w:val="0"/>
          <w:szCs w:val="21"/>
        </w:rPr>
        <w:t>比例组成</w:t>
      </w:r>
      <w:r>
        <w:rPr>
          <w:rFonts w:hint="eastAsia" w:ascii="宋体" w:hAnsi="宋体"/>
          <w:color w:val="000000"/>
          <w:kern w:val="0"/>
          <w:szCs w:val="21"/>
        </w:rPr>
        <w:t>，成绩的比例和依据要与课程考试大纲一致。</w:t>
      </w:r>
    </w:p>
    <w:p>
      <w:pPr>
        <w:spacing w:line="360" w:lineRule="exact"/>
        <w:ind w:firstLine="420" w:firstLineChars="200"/>
        <w:rPr>
          <w:rFonts w:ascii="宋体" w:hAnsi="宋体"/>
          <w:color w:val="000000"/>
          <w:szCs w:val="21"/>
        </w:rPr>
      </w:pPr>
      <w:r>
        <w:rPr>
          <w:rFonts w:hint="eastAsia" w:ascii="宋体" w:hAnsi="宋体"/>
          <w:color w:val="000000"/>
          <w:kern w:val="0"/>
          <w:szCs w:val="21"/>
        </w:rPr>
        <w:t>（一）课程结业考试成绩一般占总评成绩的</w:t>
      </w:r>
      <w:r>
        <w:rPr>
          <w:rFonts w:ascii="Times New Roman" w:hAnsi="Times New Roman"/>
          <w:color w:val="000000"/>
          <w:kern w:val="0"/>
          <w:szCs w:val="21"/>
        </w:rPr>
        <w:t>70</w:t>
      </w:r>
      <w:r>
        <w:rPr>
          <w:rFonts w:ascii="宋体" w:hAnsi="宋体"/>
          <w:color w:val="000000"/>
          <w:kern w:val="0"/>
          <w:szCs w:val="21"/>
        </w:rPr>
        <w:t>%</w:t>
      </w:r>
      <w:r>
        <w:rPr>
          <w:rFonts w:hint="eastAsia" w:ascii="宋体" w:hAnsi="宋体"/>
          <w:color w:val="000000"/>
          <w:kern w:val="0"/>
          <w:szCs w:val="21"/>
        </w:rPr>
        <w:t>，平时成绩占总评成绩的</w:t>
      </w:r>
      <w:r>
        <w:rPr>
          <w:rFonts w:ascii="Times New Roman" w:hAnsi="Times New Roman"/>
          <w:color w:val="000000"/>
          <w:kern w:val="0"/>
          <w:szCs w:val="21"/>
        </w:rPr>
        <w:t>30</w:t>
      </w:r>
      <w:r>
        <w:rPr>
          <w:rFonts w:ascii="宋体" w:hAnsi="宋体"/>
          <w:color w:val="000000"/>
          <w:kern w:val="0"/>
          <w:szCs w:val="21"/>
        </w:rPr>
        <w:t>%</w:t>
      </w:r>
      <w:r>
        <w:rPr>
          <w:rFonts w:hint="eastAsia" w:ascii="宋体" w:hAnsi="宋体"/>
          <w:color w:val="000000"/>
          <w:kern w:val="0"/>
          <w:szCs w:val="21"/>
        </w:rPr>
        <w:t>。</w:t>
      </w:r>
      <w:r>
        <w:rPr>
          <w:rFonts w:hint="eastAsia" w:ascii="宋体" w:hAnsi="宋体" w:cs="宋体"/>
          <w:color w:val="000000"/>
          <w:szCs w:val="21"/>
        </w:rPr>
        <w:t>但实践课程、教改创新课程结业考试成绩占课程总评成绩的比例可以由任课教师在</w:t>
      </w:r>
      <w:r>
        <w:rPr>
          <w:rFonts w:ascii="Times New Roman" w:hAnsi="Times New Roman"/>
          <w:color w:val="000000"/>
          <w:szCs w:val="21"/>
        </w:rPr>
        <w:t>30</w:t>
      </w:r>
      <w:r>
        <w:rPr>
          <w:rFonts w:hint="eastAsia" w:ascii="宋体" w:hAnsi="宋体" w:cs="宋体"/>
          <w:color w:val="000000"/>
          <w:szCs w:val="21"/>
        </w:rPr>
        <w:t>%—</w:t>
      </w:r>
      <w:r>
        <w:rPr>
          <w:rFonts w:ascii="Times New Roman" w:hAnsi="Times New Roman"/>
          <w:color w:val="000000"/>
          <w:szCs w:val="21"/>
        </w:rPr>
        <w:t>70</w:t>
      </w:r>
      <w:r>
        <w:rPr>
          <w:rFonts w:hint="eastAsia" w:ascii="宋体" w:hAnsi="宋体" w:cs="宋体"/>
          <w:color w:val="000000"/>
          <w:szCs w:val="21"/>
        </w:rPr>
        <w:t>%范围内自主规定。平时成绩指学生课堂考勤、作业、练习、课堂讨论、自主学习、测验及学习态度、学习能力等的综合评定。任课教师应当在开课初向学生公布本课程的考核方式及成绩评定方法。实践课程、教改创新课程考核方式及成绩评定方法须报二级学院审定、教务处备案后才能实施。</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二）平时成绩评定的依据包括：课堂提问、课堂讨论、演讲、测验、实验、作业、课程论文、出勤等。平时成绩评定必须在《湖南财政经济学院学生平时成绩登记表》（从教务系统下载）上有相应的记录和反映，并保留平时成绩评定的原始依据。</w:t>
      </w:r>
    </w:p>
    <w:p>
      <w:pPr>
        <w:spacing w:line="360" w:lineRule="exact"/>
        <w:ind w:firstLine="420" w:firstLineChars="200"/>
        <w:rPr>
          <w:rFonts w:ascii="宋体" w:hAnsi="宋体" w:cs="仿宋_GB2312"/>
          <w:color w:val="000000"/>
          <w:szCs w:val="21"/>
        </w:rPr>
      </w:pPr>
      <w:r>
        <w:rPr>
          <w:rFonts w:hint="eastAsia" w:ascii="宋体" w:hAnsi="宋体"/>
          <w:color w:val="000000"/>
          <w:kern w:val="0"/>
          <w:szCs w:val="21"/>
        </w:rPr>
        <w:t>（</w:t>
      </w:r>
      <w:r>
        <w:rPr>
          <w:rFonts w:ascii="宋体" w:hAnsi="宋体"/>
          <w:color w:val="000000"/>
          <w:kern w:val="0"/>
          <w:szCs w:val="21"/>
        </w:rPr>
        <w:t>三）</w:t>
      </w:r>
      <w:r>
        <w:rPr>
          <w:rFonts w:hint="eastAsia" w:ascii="宋体" w:hAnsi="宋体" w:cs="仿宋_GB2312"/>
          <w:color w:val="000000"/>
          <w:szCs w:val="21"/>
        </w:rPr>
        <w:t>课程结业考试成绩低于</w:t>
      </w:r>
      <w:r>
        <w:rPr>
          <w:rFonts w:ascii="Times New Roman" w:hAnsi="Times New Roman"/>
          <w:color w:val="000000"/>
          <w:szCs w:val="21"/>
        </w:rPr>
        <w:t>50</w:t>
      </w:r>
      <w:r>
        <w:rPr>
          <w:rFonts w:hint="eastAsia" w:ascii="宋体" w:hAnsi="宋体" w:cs="仿宋_GB2312"/>
          <w:color w:val="000000"/>
          <w:szCs w:val="21"/>
        </w:rPr>
        <w:t>分者，不计平时成绩，不</w:t>
      </w:r>
      <w:r>
        <w:rPr>
          <w:rFonts w:ascii="宋体" w:hAnsi="宋体" w:cs="仿宋_GB2312"/>
          <w:color w:val="000000"/>
          <w:szCs w:val="21"/>
        </w:rPr>
        <w:t>能取得学分，</w:t>
      </w:r>
      <w:r>
        <w:rPr>
          <w:rFonts w:hint="eastAsia" w:ascii="宋体" w:hAnsi="宋体" w:cs="仿宋_GB2312"/>
          <w:color w:val="000000"/>
          <w:szCs w:val="21"/>
        </w:rPr>
        <w:t>总评成绩按期末卷面考试成绩记载，</w:t>
      </w:r>
      <w:r>
        <w:rPr>
          <w:rFonts w:hint="eastAsia" w:ascii="宋体" w:hAnsi="宋体" w:cs="宋体"/>
          <w:color w:val="000000"/>
          <w:szCs w:val="21"/>
        </w:rPr>
        <w:t>课程总评成绩达到或超过</w:t>
      </w:r>
      <w:r>
        <w:rPr>
          <w:rFonts w:ascii="Times New Roman" w:hAnsi="Times New Roman"/>
          <w:color w:val="000000"/>
          <w:szCs w:val="21"/>
        </w:rPr>
        <w:t>60</w:t>
      </w:r>
      <w:r>
        <w:rPr>
          <w:rFonts w:hint="eastAsia" w:ascii="宋体" w:hAnsi="宋体" w:cs="宋体"/>
          <w:color w:val="000000"/>
          <w:szCs w:val="21"/>
        </w:rPr>
        <w:t>分（及格）即可获得该课程的学分。</w:t>
      </w:r>
    </w:p>
    <w:p>
      <w:pPr>
        <w:shd w:val="clear" w:color="auto" w:fill="FFFFFF"/>
        <w:adjustRightInd w:val="0"/>
        <w:snapToGrid w:val="0"/>
        <w:spacing w:line="360" w:lineRule="exact"/>
        <w:ind w:firstLine="420" w:firstLineChars="200"/>
        <w:jc w:val="left"/>
        <w:rPr>
          <w:rFonts w:ascii="宋体"/>
          <w:color w:val="000000"/>
          <w:kern w:val="0"/>
          <w:szCs w:val="21"/>
        </w:rPr>
      </w:pP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第五章</w:t>
      </w:r>
      <w:r>
        <w:rPr>
          <w:rFonts w:ascii="黑体" w:hAnsi="黑体" w:eastAsia="黑体"/>
          <w:color w:val="000000"/>
          <w:sz w:val="24"/>
        </w:rPr>
        <w:t xml:space="preserve">  </w:t>
      </w:r>
      <w:r>
        <w:rPr>
          <w:rFonts w:hint="eastAsia" w:ascii="黑体" w:hAnsi="黑体" w:eastAsia="黑体"/>
          <w:color w:val="000000"/>
          <w:sz w:val="24"/>
        </w:rPr>
        <w:t>非命题考试（考查）与成绩评定</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第十八条</w:t>
      </w:r>
      <w:r>
        <w:rPr>
          <w:rFonts w:ascii="宋体" w:hAnsi="宋体"/>
          <w:color w:val="000000"/>
          <w:kern w:val="0"/>
          <w:szCs w:val="21"/>
        </w:rPr>
        <w:t xml:space="preserve">  </w:t>
      </w:r>
      <w:r>
        <w:rPr>
          <w:rFonts w:hint="eastAsia" w:ascii="宋体" w:hAnsi="宋体"/>
          <w:color w:val="000000"/>
          <w:kern w:val="0"/>
          <w:szCs w:val="21"/>
        </w:rPr>
        <w:t>非命题考试和考查课程按百分制评定成绩。非命题考试和考查课程的考核必须有四项以上的成绩评定项目，各项目成绩的比例必须与教学大纲和考试大纲一致。各项目成绩评定的依据和要求与命题考试平时成绩评定依据和要求一致，并保留成绩评定的原始依据。</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第十九条</w:t>
      </w:r>
      <w:r>
        <w:rPr>
          <w:rFonts w:ascii="宋体" w:hAnsi="宋体"/>
          <w:color w:val="000000"/>
          <w:kern w:val="0"/>
          <w:szCs w:val="21"/>
        </w:rPr>
        <w:t xml:space="preserve">  </w:t>
      </w:r>
      <w:r>
        <w:rPr>
          <w:rFonts w:hint="eastAsia" w:ascii="宋体" w:hAnsi="宋体"/>
          <w:color w:val="000000"/>
          <w:kern w:val="0"/>
          <w:szCs w:val="21"/>
        </w:rPr>
        <w:t>采用闭卷考试形式的科目，参考命题考试要求进行；开卷考试的试题，应注重考核学生综合运用“三基”分析问题、解决问题的能力，试卷要体现综合运用。试题答案不能含有可从教材或其它允许携带的资料上直接抄录的内容。</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第二十条</w:t>
      </w:r>
      <w:r>
        <w:rPr>
          <w:rFonts w:ascii="宋体" w:hAnsi="宋体"/>
          <w:color w:val="000000"/>
          <w:kern w:val="0"/>
          <w:szCs w:val="21"/>
        </w:rPr>
        <w:t xml:space="preserve">  </w:t>
      </w:r>
      <w:r>
        <w:rPr>
          <w:rFonts w:hint="eastAsia" w:ascii="宋体" w:hAnsi="宋体"/>
          <w:color w:val="000000"/>
          <w:kern w:val="0"/>
          <w:szCs w:val="21"/>
        </w:rPr>
        <w:t>实行提交论文、设计或作品等方式的非命题考试和考查，可采取统一命题、统一选题或任意选题等多种方式进行。统一命题即统一命制一定数量的题目，要求学生按指定的题目进行撰写（设计）；统一选题即统一命制一定数量的题目，要求学生在提供的题目范围内选题进行撰写（设计）；任意选题即学生任意选择与该课程内容相关的题目进行撰写（设计）。不论采用何种方式，其考核内容均须符合本课程教学大纲要求。</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第二十一条</w:t>
      </w:r>
      <w:r>
        <w:rPr>
          <w:rFonts w:ascii="宋体" w:hAnsi="宋体"/>
          <w:color w:val="000000"/>
          <w:kern w:val="0"/>
          <w:szCs w:val="21"/>
        </w:rPr>
        <w:t xml:space="preserve">  </w:t>
      </w:r>
      <w:r>
        <w:rPr>
          <w:rFonts w:hint="eastAsia" w:ascii="宋体" w:hAnsi="宋体"/>
          <w:color w:val="000000"/>
          <w:kern w:val="0"/>
          <w:szCs w:val="21"/>
        </w:rPr>
        <w:t>实验课程的考核应注重课程教学过程中的形成性考核与课程结束时的总结性（鉴定性）考核相结合。形成性考核要求每个实验项目由预习、实验操作和实验报告三个环节按比例评分；总结性（鉴定性）考核要求着重考核学生对实验理论和技能的掌握程度及分析问题、解决问题的能力。在课程结束时，依据教学大纲要求，拟定实验考核题目，并对实验方案（含实验原理、方法、仪器材料选配等）、实验操作（含仪器安装调试情况、操作规范熟练程度、数据完整及准确性等）和实验报告（含实验内容、数据处理、结果分析等）给出评分细则。若以实验课程结束时提交的作品作为对该实验课程的总结性（鉴定性）考核，应依据教学大纲要求，采用统一命题、统一选题或任意选题等方式进行。</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第二十二条</w:t>
      </w:r>
      <w:r>
        <w:rPr>
          <w:rFonts w:ascii="宋体" w:hAnsi="宋体"/>
          <w:color w:val="000000"/>
          <w:kern w:val="0"/>
          <w:szCs w:val="21"/>
        </w:rPr>
        <w:t xml:space="preserve">  </w:t>
      </w:r>
      <w:r>
        <w:rPr>
          <w:rFonts w:hint="eastAsia" w:ascii="宋体" w:hAnsi="宋体"/>
          <w:color w:val="000000"/>
          <w:kern w:val="0"/>
          <w:szCs w:val="21"/>
        </w:rPr>
        <w:t>非命题考试和考查试卷应使用学校统一的模板制作，可由教务处负责统一印制。</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第二十三条</w:t>
      </w:r>
      <w:r>
        <w:rPr>
          <w:rFonts w:ascii="宋体" w:hAnsi="宋体"/>
          <w:color w:val="000000"/>
          <w:kern w:val="0"/>
          <w:szCs w:val="21"/>
        </w:rPr>
        <w:t xml:space="preserve">  </w:t>
      </w:r>
      <w:r>
        <w:rPr>
          <w:rFonts w:hint="eastAsia" w:ascii="宋体" w:hAnsi="宋体"/>
          <w:color w:val="000000"/>
          <w:kern w:val="0"/>
          <w:szCs w:val="21"/>
        </w:rPr>
        <w:t>非命题考试和考查课程的试卷、论文、设计、作品等的评阅工作由相关任课教师或指导教师负责。评阅时，须有参考答案及评分细则或论文、设计、作品评分标准（可参考毕业论文评阅表）或各二级学院制订的成绩评定参考标准，并保留评阅记录。</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第二十四条</w:t>
      </w:r>
      <w:r>
        <w:rPr>
          <w:rFonts w:ascii="宋体" w:hAnsi="宋体"/>
          <w:color w:val="000000"/>
          <w:kern w:val="0"/>
          <w:szCs w:val="21"/>
        </w:rPr>
        <w:t xml:space="preserve">  </w:t>
      </w:r>
      <w:r>
        <w:rPr>
          <w:rFonts w:hint="eastAsia" w:ascii="宋体" w:hAnsi="宋体"/>
          <w:color w:val="000000"/>
          <w:kern w:val="0"/>
          <w:szCs w:val="21"/>
        </w:rPr>
        <w:t>毕业论文</w:t>
      </w:r>
      <w:r>
        <w:rPr>
          <w:rFonts w:ascii="宋体" w:hAnsi="宋体"/>
          <w:color w:val="000000"/>
          <w:kern w:val="0"/>
          <w:szCs w:val="21"/>
        </w:rPr>
        <w:t>（</w:t>
      </w:r>
      <w:r>
        <w:rPr>
          <w:rFonts w:hint="eastAsia" w:ascii="宋体" w:hAnsi="宋体"/>
          <w:color w:val="000000"/>
          <w:kern w:val="0"/>
          <w:szCs w:val="21"/>
        </w:rPr>
        <w:t>设计）、课程设计（学年论文、综合实验）、实习、社会实践等集中性实践教学环节的考查成绩评定，依据各二级学院制订的成绩评定参考标准及教务处的相关规定执行，其中</w:t>
      </w:r>
      <w:r>
        <w:rPr>
          <w:rFonts w:ascii="宋体" w:hAnsi="宋体"/>
          <w:color w:val="000000"/>
          <w:kern w:val="0"/>
          <w:szCs w:val="21"/>
        </w:rPr>
        <w:t>毕业论文</w:t>
      </w:r>
      <w:r>
        <w:rPr>
          <w:rFonts w:hint="eastAsia" w:ascii="宋体" w:hAnsi="宋体"/>
          <w:color w:val="000000"/>
          <w:kern w:val="0"/>
          <w:szCs w:val="21"/>
        </w:rPr>
        <w:t>（</w:t>
      </w:r>
      <w:r>
        <w:rPr>
          <w:rFonts w:ascii="宋体" w:hAnsi="宋体"/>
          <w:color w:val="000000"/>
          <w:kern w:val="0"/>
          <w:szCs w:val="21"/>
        </w:rPr>
        <w:t>设计）</w:t>
      </w:r>
      <w:r>
        <w:rPr>
          <w:rFonts w:hint="eastAsia" w:ascii="宋体" w:hAnsi="宋体"/>
          <w:color w:val="000000"/>
          <w:kern w:val="0"/>
          <w:szCs w:val="21"/>
        </w:rPr>
        <w:t>和</w:t>
      </w:r>
      <w:r>
        <w:rPr>
          <w:rFonts w:ascii="宋体" w:hAnsi="宋体"/>
          <w:color w:val="000000"/>
          <w:kern w:val="0"/>
          <w:szCs w:val="21"/>
        </w:rPr>
        <w:t>毕业实习</w:t>
      </w:r>
      <w:r>
        <w:rPr>
          <w:rFonts w:hint="eastAsia" w:ascii="宋体" w:hAnsi="宋体"/>
          <w:color w:val="000000"/>
          <w:kern w:val="0"/>
          <w:szCs w:val="21"/>
        </w:rPr>
        <w:t>成绩</w:t>
      </w:r>
      <w:r>
        <w:rPr>
          <w:rFonts w:ascii="宋体" w:hAnsi="宋体"/>
          <w:color w:val="000000"/>
          <w:kern w:val="0"/>
          <w:szCs w:val="21"/>
        </w:rPr>
        <w:t>按等级</w:t>
      </w:r>
      <w:r>
        <w:rPr>
          <w:rFonts w:hint="eastAsia" w:ascii="宋体" w:hAnsi="宋体"/>
          <w:color w:val="000000"/>
          <w:kern w:val="0"/>
          <w:szCs w:val="21"/>
        </w:rPr>
        <w:t>制</w:t>
      </w:r>
      <w:r>
        <w:rPr>
          <w:rFonts w:ascii="宋体" w:hAnsi="宋体"/>
          <w:color w:val="000000"/>
          <w:kern w:val="0"/>
          <w:szCs w:val="21"/>
        </w:rPr>
        <w:t>进行评定</w:t>
      </w:r>
      <w:r>
        <w:rPr>
          <w:rFonts w:hint="eastAsia" w:ascii="宋体" w:hAnsi="宋体"/>
          <w:color w:val="000000"/>
          <w:kern w:val="0"/>
          <w:szCs w:val="21"/>
        </w:rPr>
        <w:t>。</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第六章</w:t>
      </w:r>
      <w:r>
        <w:rPr>
          <w:rFonts w:ascii="黑体" w:hAnsi="黑体" w:eastAsia="黑体"/>
          <w:color w:val="000000"/>
          <w:sz w:val="24"/>
        </w:rPr>
        <w:t xml:space="preserve">  </w:t>
      </w:r>
      <w:r>
        <w:rPr>
          <w:rFonts w:hint="eastAsia" w:ascii="黑体" w:hAnsi="黑体" w:eastAsia="黑体"/>
          <w:color w:val="000000"/>
          <w:sz w:val="24"/>
        </w:rPr>
        <w:t>制卷和试卷管理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第二十五条</w:t>
      </w:r>
      <w:r>
        <w:rPr>
          <w:rFonts w:ascii="宋体" w:hAnsi="宋体"/>
          <w:color w:val="000000"/>
          <w:kern w:val="0"/>
          <w:szCs w:val="21"/>
        </w:rPr>
        <w:t xml:space="preserve">  </w:t>
      </w:r>
      <w:r>
        <w:rPr>
          <w:rFonts w:hint="eastAsia" w:ascii="宋体" w:hAnsi="宋体"/>
          <w:color w:val="000000"/>
          <w:kern w:val="0"/>
          <w:szCs w:val="21"/>
        </w:rPr>
        <w:t>考试试卷应按模板格式制作，并注明“开卷”或“闭卷”字样，用计算机打印样卷输出。</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第二十六条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考试试卷由出卷人密封好试卷袋后由课程归属二级学院安排专人按当次出卷要求于</w:t>
      </w:r>
      <w:r>
        <w:rPr>
          <w:rFonts w:ascii="宋体" w:hAnsi="宋体"/>
          <w:color w:val="000000"/>
          <w:kern w:val="0"/>
          <w:szCs w:val="21"/>
        </w:rPr>
        <w:t>考试前两周</w:t>
      </w:r>
      <w:r>
        <w:rPr>
          <w:rFonts w:hint="eastAsia" w:ascii="宋体" w:hAnsi="宋体"/>
          <w:color w:val="000000"/>
          <w:kern w:val="0"/>
          <w:szCs w:val="21"/>
        </w:rPr>
        <w:t>送交教务处统一制卷和领取。</w:t>
      </w:r>
    </w:p>
    <w:p>
      <w:pPr>
        <w:shd w:val="clear" w:color="auto" w:fill="FFFFFF"/>
        <w:adjustRightInd w:val="0"/>
        <w:snapToGrid w:val="0"/>
        <w:spacing w:line="360" w:lineRule="exact"/>
        <w:ind w:firstLine="422" w:firstLineChars="200"/>
        <w:jc w:val="left"/>
        <w:rPr>
          <w:rFonts w:ascii="宋体" w:hAnsi="宋体"/>
          <w:color w:val="000000"/>
          <w:kern w:val="0"/>
          <w:szCs w:val="21"/>
        </w:rPr>
      </w:pPr>
      <w:r>
        <w:rPr>
          <w:rFonts w:hint="eastAsia" w:ascii="宋体" w:hAnsi="宋体"/>
          <w:b/>
          <w:color w:val="000000"/>
          <w:kern w:val="0"/>
          <w:szCs w:val="21"/>
        </w:rPr>
        <w:t>第二十七条</w:t>
      </w:r>
      <w:r>
        <w:rPr>
          <w:rFonts w:ascii="宋体" w:hAnsi="宋体"/>
          <w:color w:val="000000"/>
          <w:kern w:val="0"/>
          <w:szCs w:val="21"/>
        </w:rPr>
        <w:t xml:space="preserve">  </w:t>
      </w:r>
      <w:r>
        <w:rPr>
          <w:rFonts w:hint="eastAsia" w:ascii="宋体" w:hAnsi="宋体"/>
          <w:color w:val="000000"/>
          <w:kern w:val="0"/>
          <w:szCs w:val="21"/>
        </w:rPr>
        <w:t>要做好试题的保密工作。教师不得指定考试重点或划定考试范围，更不得以任何方式泄露考试内容，接触试题人员也不得以任何方式泄漏试题。考前试卷统一存放保密室（教务处保密室或各二级学院保密室）进行保管，考试完毕，试卷应如数收回，并由课程归属二级学院妥善保管。所有与试卷接触的人都要签订试卷保密协议。</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 xml:space="preserve">第二十八条  </w:t>
      </w:r>
      <w:r>
        <w:rPr>
          <w:rFonts w:hint="eastAsia" w:ascii="宋体" w:hAnsi="宋体"/>
          <w:color w:val="000000"/>
          <w:kern w:val="0"/>
          <w:szCs w:val="21"/>
        </w:rPr>
        <w:t>加强试卷管理、试卷分析工作。各学院（部门）应在每学期对本单位考试的试卷进行抽样分析，督促教师科学命题，并对教师评卷进行检查，认真做好考试质量分析评价和师生教学质量评价，及时将分析、检查结果在本单位通报并报学校教务处。学校将组织专家对全校考试试卷进行抽样分析，对教师评卷情况进行抽查，并公布分析、检查结果。</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第二十九条</w:t>
      </w:r>
      <w:r>
        <w:rPr>
          <w:rFonts w:ascii="宋体" w:hAnsi="宋体"/>
          <w:color w:val="000000"/>
          <w:kern w:val="0"/>
          <w:szCs w:val="21"/>
        </w:rPr>
        <w:t xml:space="preserve">  </w:t>
      </w:r>
      <w:r>
        <w:rPr>
          <w:rFonts w:hint="eastAsia" w:ascii="宋体" w:hAnsi="宋体"/>
          <w:color w:val="000000"/>
          <w:kern w:val="0"/>
          <w:szCs w:val="21"/>
        </w:rPr>
        <w:t>各二级学院应严格按照学校教务处关于命题考试、非命题（考查）试卷命题、评阅以及存档的相关规定，认真组织本院试卷的命题、评阅及存档工作。各二级学院院长对本学院试卷的命题、评阅与存档工作承担主要领导责任；主管教学工作的副院长承担直接领导责任；教研室主任承担直接责任；教科办</w:t>
      </w:r>
      <w:r>
        <w:rPr>
          <w:rFonts w:ascii="宋体" w:hAnsi="宋体"/>
          <w:color w:val="000000"/>
          <w:kern w:val="0"/>
          <w:szCs w:val="21"/>
        </w:rPr>
        <w:t>主任</w:t>
      </w:r>
      <w:r>
        <w:rPr>
          <w:rFonts w:hint="eastAsia" w:ascii="宋体" w:hAnsi="宋体"/>
          <w:color w:val="000000"/>
          <w:kern w:val="0"/>
          <w:szCs w:val="21"/>
        </w:rPr>
        <w:t>须对本二级学院试卷的命题、评阅及存档进行形式审查。</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第七章</w:t>
      </w:r>
      <w:r>
        <w:rPr>
          <w:rFonts w:ascii="黑体" w:hAnsi="黑体" w:eastAsia="黑体"/>
          <w:color w:val="000000"/>
          <w:sz w:val="24"/>
        </w:rPr>
        <w:t xml:space="preserve">  </w:t>
      </w:r>
      <w:r>
        <w:rPr>
          <w:rFonts w:hint="eastAsia" w:ascii="黑体" w:hAnsi="黑体" w:eastAsia="黑体"/>
          <w:color w:val="000000"/>
          <w:sz w:val="24"/>
        </w:rPr>
        <w:t>成绩管理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第三十条</w:t>
      </w:r>
      <w:r>
        <w:rPr>
          <w:rFonts w:ascii="宋体" w:hAnsi="宋体"/>
          <w:color w:val="000000"/>
          <w:kern w:val="0"/>
          <w:szCs w:val="21"/>
        </w:rPr>
        <w:t xml:space="preserve">  </w:t>
      </w:r>
      <w:r>
        <w:rPr>
          <w:rFonts w:hint="eastAsia" w:ascii="宋体" w:hAnsi="宋体"/>
          <w:color w:val="000000"/>
          <w:kern w:val="0"/>
          <w:szCs w:val="21"/>
        </w:rPr>
        <w:t>成绩评定结束后，任课教师或指导教师应严格按要求将成绩录入教务管理系统，并将录入的《湖南财政经济学院班级成绩单》和《湖南财政经济学院班级成绩分析单》打印输出，经任课教师签字、系</w:t>
      </w:r>
      <w:r>
        <w:rPr>
          <w:rFonts w:ascii="宋体" w:hAnsi="宋体"/>
          <w:color w:val="000000"/>
          <w:kern w:val="0"/>
          <w:szCs w:val="21"/>
        </w:rPr>
        <w:t>（</w:t>
      </w:r>
      <w:r>
        <w:rPr>
          <w:rFonts w:hint="eastAsia" w:ascii="宋体" w:hAnsi="宋体"/>
          <w:color w:val="000000"/>
          <w:kern w:val="0"/>
          <w:szCs w:val="21"/>
        </w:rPr>
        <w:t>教研室）主任审核签字后，交学院</w:t>
      </w:r>
      <w:r>
        <w:rPr>
          <w:rFonts w:ascii="宋体" w:hAnsi="宋体"/>
          <w:color w:val="000000"/>
          <w:kern w:val="0"/>
          <w:szCs w:val="21"/>
        </w:rPr>
        <w:t>或</w:t>
      </w:r>
      <w:r>
        <w:rPr>
          <w:rFonts w:hint="eastAsia" w:ascii="宋体" w:hAnsi="宋体"/>
          <w:color w:val="000000"/>
          <w:kern w:val="0"/>
          <w:szCs w:val="21"/>
        </w:rPr>
        <w:t>教研室存档。每份成绩分析单应以该门课程教学大纲、考试大纲为依据，以课程的教学目标和要求为标准，从定性和定量的角度认真分析学生的答题情况，重点就学生对该课程知识的掌握与运用情况、相关能力目标的实现、教与学各方面存在的主要薄弱环节进行归因分析，并据此提出针对性较强的教学改进措施；不同班级的成绩分析评语应有针对性和差异性。</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第三十一条</w:t>
      </w:r>
      <w:r>
        <w:rPr>
          <w:rFonts w:ascii="宋体" w:hAnsi="宋体"/>
          <w:color w:val="000000"/>
          <w:kern w:val="0"/>
          <w:szCs w:val="21"/>
        </w:rPr>
        <w:t xml:space="preserve">  </w:t>
      </w:r>
      <w:r>
        <w:rPr>
          <w:rFonts w:hint="eastAsia" w:ascii="宋体" w:hAnsi="宋体"/>
          <w:color w:val="000000"/>
          <w:kern w:val="0"/>
          <w:szCs w:val="21"/>
        </w:rPr>
        <w:t>学生可通过学校综合教务管理系统查阅其所有课程的考核成绩。任课教师不得直接向学生公布成绩。</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第三十二条</w:t>
      </w:r>
      <w:r>
        <w:rPr>
          <w:rFonts w:ascii="宋体" w:hAnsi="宋体"/>
          <w:color w:val="000000"/>
          <w:kern w:val="0"/>
          <w:szCs w:val="21"/>
        </w:rPr>
        <w:t xml:space="preserve">  </w:t>
      </w:r>
      <w:r>
        <w:rPr>
          <w:rFonts w:hint="eastAsia" w:ascii="宋体" w:hAnsi="宋体"/>
          <w:color w:val="000000"/>
          <w:kern w:val="0"/>
          <w:szCs w:val="21"/>
        </w:rPr>
        <w:t>教学（考核）过程中形成的原始成绩档案由学院</w:t>
      </w:r>
      <w:r>
        <w:rPr>
          <w:rFonts w:ascii="宋体" w:hAnsi="宋体"/>
          <w:color w:val="000000"/>
          <w:kern w:val="0"/>
          <w:szCs w:val="21"/>
        </w:rPr>
        <w:t>或</w:t>
      </w:r>
      <w:r>
        <w:rPr>
          <w:rFonts w:hint="eastAsia" w:ascii="宋体" w:hAnsi="宋体"/>
          <w:color w:val="000000"/>
          <w:kern w:val="0"/>
          <w:szCs w:val="21"/>
        </w:rPr>
        <w:t>教研室严格管理，不得遗失、不得擅自涂改，无关人员不得查阅。</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第三十三条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任课教师或指导教师对成绩评定负责；教务人员对成绩的日常管理负责。擅自为学生更改成绩者，按教学事故处理。</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第八章</w:t>
      </w:r>
      <w:r>
        <w:rPr>
          <w:rFonts w:ascii="黑体" w:hAnsi="黑体" w:eastAsia="黑体"/>
          <w:color w:val="000000"/>
          <w:sz w:val="24"/>
        </w:rPr>
        <w:t xml:space="preserve">  </w:t>
      </w:r>
      <w:r>
        <w:rPr>
          <w:rFonts w:hint="eastAsia" w:ascii="黑体" w:hAnsi="黑体" w:eastAsia="黑体"/>
          <w:color w:val="000000"/>
          <w:sz w:val="24"/>
        </w:rPr>
        <w:t>考核资料管理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第三十四条</w:t>
      </w:r>
      <w:r>
        <w:rPr>
          <w:rFonts w:ascii="宋体" w:hAnsi="宋体"/>
          <w:color w:val="000000"/>
          <w:kern w:val="0"/>
          <w:szCs w:val="21"/>
        </w:rPr>
        <w:t xml:space="preserve">  </w:t>
      </w:r>
      <w:r>
        <w:rPr>
          <w:rFonts w:hint="eastAsia" w:ascii="宋体" w:hAnsi="宋体"/>
          <w:color w:val="000000"/>
          <w:kern w:val="0"/>
          <w:szCs w:val="21"/>
        </w:rPr>
        <w:t>考核资料由课程归属学院或教研室负责整理并存档。保存期为学生毕业后三年，以备必要时查阅。</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（一）命题考试课程的存档材料依次包括：</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1</w:t>
      </w:r>
      <w:r>
        <w:rPr>
          <w:rFonts w:ascii="宋体" w:hAnsi="宋体"/>
          <w:color w:val="000000"/>
          <w:kern w:val="0"/>
          <w:szCs w:val="21"/>
        </w:rPr>
        <w:t>.</w:t>
      </w:r>
      <w:r>
        <w:rPr>
          <w:rFonts w:hint="eastAsia" w:ascii="宋体" w:hAnsi="宋体"/>
          <w:color w:val="000000"/>
          <w:kern w:val="0"/>
          <w:szCs w:val="21"/>
        </w:rPr>
        <w:t>学校统一模板的试卷装订封面；</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2</w:t>
      </w:r>
      <w:r>
        <w:rPr>
          <w:rFonts w:ascii="宋体" w:hAnsi="宋体"/>
          <w:color w:val="000000"/>
          <w:kern w:val="0"/>
          <w:szCs w:val="21"/>
        </w:rPr>
        <w:t>.</w:t>
      </w:r>
      <w:r>
        <w:rPr>
          <w:rFonts w:hint="eastAsia" w:ascii="宋体" w:hAnsi="宋体"/>
          <w:color w:val="000000"/>
          <w:kern w:val="0"/>
          <w:szCs w:val="21"/>
        </w:rPr>
        <w:t>《命题双向细目表》；</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3</w:t>
      </w:r>
      <w:r>
        <w:rPr>
          <w:rFonts w:ascii="宋体" w:hAnsi="宋体"/>
          <w:color w:val="000000"/>
          <w:kern w:val="0"/>
          <w:szCs w:val="21"/>
        </w:rPr>
        <w:t>.</w:t>
      </w:r>
      <w:r>
        <w:rPr>
          <w:rFonts w:hint="eastAsia" w:ascii="宋体" w:hAnsi="宋体"/>
          <w:color w:val="000000"/>
          <w:kern w:val="0"/>
          <w:szCs w:val="21"/>
        </w:rPr>
        <w:t>命题审定单；</w:t>
      </w:r>
      <w:r>
        <w:rPr>
          <w:rFonts w:hint="eastAsia" w:ascii="宋体"/>
          <w:color w:val="000000"/>
          <w:kern w:val="0"/>
          <w:szCs w:val="21"/>
        </w:rPr>
        <w:t xml:space="preserve"> </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4</w:t>
      </w:r>
      <w:r>
        <w:rPr>
          <w:rFonts w:ascii="宋体" w:hAnsi="宋体"/>
          <w:color w:val="000000"/>
          <w:kern w:val="0"/>
          <w:szCs w:val="21"/>
        </w:rPr>
        <w:t>.</w:t>
      </w:r>
      <w:r>
        <w:rPr>
          <w:rFonts w:hint="eastAsia" w:ascii="宋体" w:hAnsi="宋体"/>
          <w:color w:val="000000"/>
          <w:kern w:val="0"/>
          <w:szCs w:val="21"/>
        </w:rPr>
        <w:t>《湖南财政经济学院班级成绩单》；</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5</w:t>
      </w:r>
      <w:r>
        <w:rPr>
          <w:rFonts w:ascii="宋体" w:hAnsi="宋体"/>
          <w:color w:val="000000"/>
          <w:kern w:val="0"/>
          <w:szCs w:val="21"/>
        </w:rPr>
        <w:t>.</w:t>
      </w:r>
      <w:r>
        <w:rPr>
          <w:rFonts w:hint="eastAsia" w:ascii="宋体" w:hAnsi="宋体"/>
          <w:color w:val="000000"/>
          <w:kern w:val="0"/>
          <w:szCs w:val="21"/>
        </w:rPr>
        <w:t>《湖南财政经济学院班级成绩分析单》；</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6</w:t>
      </w:r>
      <w:r>
        <w:rPr>
          <w:rFonts w:ascii="宋体" w:hAnsi="宋体"/>
          <w:color w:val="000000"/>
          <w:kern w:val="0"/>
          <w:szCs w:val="21"/>
        </w:rPr>
        <w:t>.</w:t>
      </w:r>
      <w:r>
        <w:rPr>
          <w:rFonts w:hint="eastAsia" w:ascii="宋体" w:hAnsi="宋体"/>
          <w:color w:val="000000"/>
          <w:kern w:val="0"/>
          <w:szCs w:val="21"/>
        </w:rPr>
        <w:t>《湖南财政经济学院学生平时成绩登记表》及平时成绩原始评定依据（学生作业等资料暂不存档，但要保留原始成绩评定依据）；</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7</w:t>
      </w:r>
      <w:r>
        <w:rPr>
          <w:rFonts w:ascii="宋体" w:hAnsi="宋体"/>
          <w:color w:val="000000"/>
          <w:kern w:val="0"/>
          <w:szCs w:val="21"/>
        </w:rPr>
        <w:t>.</w:t>
      </w:r>
      <w:r>
        <w:rPr>
          <w:rFonts w:hint="eastAsia" w:ascii="宋体" w:hAnsi="宋体"/>
          <w:color w:val="000000"/>
          <w:kern w:val="0"/>
          <w:szCs w:val="21"/>
        </w:rPr>
        <w:t>考场情况记录表；</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8</w:t>
      </w:r>
      <w:r>
        <w:rPr>
          <w:rFonts w:ascii="宋体" w:hAnsi="宋体"/>
          <w:color w:val="000000"/>
          <w:kern w:val="0"/>
          <w:szCs w:val="21"/>
        </w:rPr>
        <w:t>.</w:t>
      </w:r>
      <w:r>
        <w:rPr>
          <w:rFonts w:hint="eastAsia" w:ascii="宋体" w:hAnsi="宋体"/>
          <w:color w:val="000000"/>
          <w:kern w:val="0"/>
          <w:szCs w:val="21"/>
        </w:rPr>
        <w:t>原始命题试卷；</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ascii="Times New Roman" w:hAnsi="Times New Roman"/>
          <w:color w:val="000000"/>
          <w:kern w:val="0"/>
          <w:szCs w:val="21"/>
        </w:rPr>
        <w:t>9</w:t>
      </w:r>
      <w:r>
        <w:rPr>
          <w:rFonts w:ascii="宋体" w:hAnsi="宋体"/>
          <w:color w:val="000000"/>
          <w:kern w:val="0"/>
          <w:szCs w:val="21"/>
        </w:rPr>
        <w:t>.</w:t>
      </w:r>
      <w:r>
        <w:rPr>
          <w:rFonts w:hint="eastAsia" w:ascii="宋体" w:hAnsi="宋体"/>
          <w:color w:val="000000"/>
          <w:kern w:val="0"/>
          <w:szCs w:val="21"/>
        </w:rPr>
        <w:t>参考答案及评分细则；</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10.试卷评</w:t>
      </w:r>
      <w:r>
        <w:rPr>
          <w:rFonts w:ascii="宋体" w:hAnsi="宋体"/>
          <w:color w:val="000000"/>
          <w:kern w:val="0"/>
          <w:szCs w:val="21"/>
        </w:rPr>
        <w:t>阅责任人签名表</w:t>
      </w:r>
      <w:r>
        <w:rPr>
          <w:rFonts w:hint="eastAsia" w:ascii="宋体" w:hAnsi="宋体"/>
          <w:color w:val="000000"/>
          <w:kern w:val="0"/>
          <w:szCs w:val="21"/>
        </w:rPr>
        <w:t>；</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11</w:t>
      </w:r>
      <w:r>
        <w:rPr>
          <w:rFonts w:ascii="宋体" w:hAnsi="宋体"/>
          <w:color w:val="000000"/>
          <w:kern w:val="0"/>
          <w:szCs w:val="21"/>
        </w:rPr>
        <w:t>.</w:t>
      </w:r>
      <w:r>
        <w:rPr>
          <w:rFonts w:hint="eastAsia" w:ascii="宋体" w:hAnsi="宋体"/>
          <w:color w:val="000000"/>
          <w:kern w:val="0"/>
          <w:szCs w:val="21"/>
        </w:rPr>
        <w:t>所有考生答题试卷，要求按学生学号顺序排列；</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12</w:t>
      </w:r>
      <w:r>
        <w:rPr>
          <w:rFonts w:ascii="宋体" w:hAnsi="宋体"/>
          <w:color w:val="000000"/>
          <w:kern w:val="0"/>
          <w:szCs w:val="21"/>
        </w:rPr>
        <w:t>.</w:t>
      </w:r>
      <w:r>
        <w:rPr>
          <w:rFonts w:hint="eastAsia" w:ascii="宋体" w:hAnsi="宋体"/>
          <w:color w:val="000000"/>
          <w:kern w:val="0"/>
          <w:szCs w:val="21"/>
        </w:rPr>
        <w:t>空白封底纸。</w:t>
      </w:r>
    </w:p>
    <w:p>
      <w:pPr>
        <w:shd w:val="clear" w:color="auto" w:fill="FFFFFF"/>
        <w:adjustRightInd w:val="0"/>
        <w:snapToGrid w:val="0"/>
        <w:spacing w:line="360" w:lineRule="exact"/>
        <w:ind w:firstLine="420" w:firstLineChars="200"/>
        <w:jc w:val="left"/>
        <w:rPr>
          <w:rFonts w:ascii="宋体"/>
          <w:color w:val="000000"/>
          <w:kern w:val="0"/>
          <w:szCs w:val="21"/>
        </w:rPr>
      </w:pPr>
      <w:r>
        <w:rPr>
          <w:rFonts w:hint="eastAsia" w:ascii="宋体" w:hAnsi="宋体"/>
          <w:color w:val="000000"/>
          <w:kern w:val="0"/>
          <w:szCs w:val="21"/>
        </w:rPr>
        <w:t>（二）非命题和考查课程的存档材料依次包括（有试卷类型考核方式的存档参照命题考试存档要求）：</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1</w:t>
      </w:r>
      <w:r>
        <w:rPr>
          <w:rFonts w:ascii="宋体" w:hAnsi="宋体"/>
          <w:color w:val="000000"/>
          <w:kern w:val="0"/>
          <w:szCs w:val="21"/>
        </w:rPr>
        <w:t>.</w:t>
      </w:r>
      <w:r>
        <w:rPr>
          <w:rFonts w:hint="eastAsia" w:ascii="宋体" w:hAnsi="宋体"/>
          <w:color w:val="000000"/>
          <w:kern w:val="0"/>
          <w:szCs w:val="21"/>
        </w:rPr>
        <w:t>学校统一模板的试卷装订封面</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2</w:t>
      </w:r>
      <w:r>
        <w:rPr>
          <w:rFonts w:ascii="宋体" w:hAnsi="宋体"/>
          <w:color w:val="000000"/>
          <w:kern w:val="0"/>
          <w:szCs w:val="21"/>
        </w:rPr>
        <w:t>.</w:t>
      </w:r>
      <w:r>
        <w:rPr>
          <w:rFonts w:hint="eastAsia" w:ascii="宋体" w:hAnsi="宋体"/>
          <w:color w:val="000000"/>
          <w:kern w:val="0"/>
          <w:szCs w:val="21"/>
        </w:rPr>
        <w:t>《湖南财政经济学院班级成绩单》；</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3</w:t>
      </w:r>
      <w:r>
        <w:rPr>
          <w:rFonts w:ascii="宋体" w:hAnsi="宋体"/>
          <w:color w:val="000000"/>
          <w:kern w:val="0"/>
          <w:szCs w:val="21"/>
        </w:rPr>
        <w:t>.</w:t>
      </w:r>
      <w:r>
        <w:rPr>
          <w:rFonts w:hint="eastAsia" w:ascii="宋体" w:hAnsi="宋体"/>
          <w:color w:val="000000"/>
          <w:kern w:val="0"/>
          <w:szCs w:val="21"/>
        </w:rPr>
        <w:t>《湖南财政经济学院班级成绩分析单》；</w:t>
      </w:r>
    </w:p>
    <w:p>
      <w:pPr>
        <w:shd w:val="clear" w:color="auto" w:fill="FFFFFF"/>
        <w:adjustRightInd w:val="0"/>
        <w:snapToGrid w:val="0"/>
        <w:spacing w:line="360" w:lineRule="exact"/>
        <w:ind w:firstLine="420" w:firstLineChars="200"/>
        <w:jc w:val="left"/>
        <w:rPr>
          <w:rFonts w:ascii="宋体"/>
          <w:color w:val="000000"/>
          <w:kern w:val="0"/>
          <w:szCs w:val="21"/>
        </w:rPr>
      </w:pPr>
      <w:r>
        <w:rPr>
          <w:rFonts w:ascii="Times New Roman" w:hAnsi="Times New Roman"/>
          <w:color w:val="000000"/>
          <w:kern w:val="0"/>
          <w:szCs w:val="21"/>
        </w:rPr>
        <w:t>4</w:t>
      </w:r>
      <w:r>
        <w:rPr>
          <w:rFonts w:ascii="宋体" w:hAnsi="宋体"/>
          <w:color w:val="000000"/>
          <w:kern w:val="0"/>
          <w:szCs w:val="21"/>
        </w:rPr>
        <w:t>.</w:t>
      </w:r>
      <w:r>
        <w:rPr>
          <w:rFonts w:hint="eastAsia" w:ascii="宋体" w:hAnsi="宋体"/>
          <w:color w:val="000000"/>
          <w:kern w:val="0"/>
          <w:szCs w:val="21"/>
        </w:rPr>
        <w:t>《湖南财政经济学院学生平时成绩登记表》及平时成绩原始评定依据（学生作业等资料暂不存档，但要保留原始成绩评定依据）；</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ascii="Times New Roman" w:hAnsi="Times New Roman"/>
          <w:color w:val="000000"/>
          <w:kern w:val="0"/>
          <w:szCs w:val="21"/>
        </w:rPr>
        <w:t>5</w:t>
      </w:r>
      <w:r>
        <w:rPr>
          <w:rFonts w:ascii="宋体" w:hAnsi="宋体"/>
          <w:color w:val="000000"/>
          <w:kern w:val="0"/>
          <w:szCs w:val="21"/>
        </w:rPr>
        <w:t>.</w:t>
      </w:r>
      <w:r>
        <w:rPr>
          <w:rFonts w:hint="eastAsia" w:ascii="宋体" w:hAnsi="宋体"/>
          <w:color w:val="000000"/>
          <w:kern w:val="0"/>
          <w:szCs w:val="21"/>
        </w:rPr>
        <w:t>空白封底纸。</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 xml:space="preserve">第三十五条  </w:t>
      </w:r>
      <w:r>
        <w:rPr>
          <w:rFonts w:hint="eastAsia" w:ascii="宋体" w:hAnsi="宋体"/>
          <w:color w:val="000000"/>
          <w:kern w:val="0"/>
          <w:szCs w:val="21"/>
        </w:rPr>
        <w:t>开学补考、返校补考等其他考试试卷按学期、课程、单独保存。</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第三十六条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实行口试考核的课程须将所有口试试题、得分和原始成绩单等一并装订存档。有口试录音的，录音带（光盘）按年级、班、组分类另行保存。</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第三十七条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实行听力考核的课程应将试卷和原始成绩单一并装订存档。听力考核所用影音资料按年级使用情况分门别类另行保存。</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第三十八条</w:t>
      </w:r>
      <w:r>
        <w:rPr>
          <w:rFonts w:ascii="宋体" w:hAnsi="宋体"/>
          <w:color w:val="000000"/>
          <w:kern w:val="0"/>
          <w:szCs w:val="21"/>
        </w:rPr>
        <w:t xml:space="preserve">  </w:t>
      </w:r>
      <w:r>
        <w:rPr>
          <w:rFonts w:hint="eastAsia" w:ascii="宋体" w:hAnsi="宋体"/>
          <w:color w:val="000000"/>
          <w:kern w:val="0"/>
          <w:szCs w:val="21"/>
        </w:rPr>
        <w:t>实行面试考核的课程须将所有面试试题、每个学生得分和原始成绩单等一并装订存档。有面试录音（像）的，录音（像）带（光盘）按年级、班、组分类另行保存。</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第三十九条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上机操作课程的考核应将考核所生成的电子数据刻制成光盘存档。</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第四十条</w:t>
      </w:r>
      <w:r>
        <w:rPr>
          <w:rFonts w:ascii="宋体" w:hAnsi="宋体"/>
          <w:color w:val="000000"/>
          <w:kern w:val="0"/>
          <w:szCs w:val="21"/>
        </w:rPr>
        <w:t xml:space="preserve">  </w:t>
      </w:r>
      <w:r>
        <w:rPr>
          <w:rFonts w:hint="eastAsia" w:ascii="宋体" w:hAnsi="宋体"/>
          <w:color w:val="000000"/>
          <w:kern w:val="0"/>
          <w:szCs w:val="21"/>
        </w:rPr>
        <w:t>实验课程的考查必须存档的资料包括：平时实验的实验成绩记录表；总结性（鉴定性）实验考核的题目、学生实验方案、实验操作情况记录表和实验报告；将实验课程结束时提交的作品的成绩作为实验考核成绩时，要求保存作品原件或照片。</w:t>
      </w:r>
    </w:p>
    <w:p>
      <w:pPr>
        <w:shd w:val="clear" w:color="auto" w:fill="FFFFFF"/>
        <w:adjustRightInd w:val="0"/>
        <w:snapToGrid w:val="0"/>
        <w:spacing w:line="360" w:lineRule="exact"/>
        <w:ind w:firstLine="422" w:firstLineChars="200"/>
        <w:jc w:val="left"/>
        <w:rPr>
          <w:rFonts w:ascii="宋体" w:hAnsi="宋体"/>
          <w:color w:val="000000"/>
          <w:kern w:val="0"/>
          <w:szCs w:val="21"/>
        </w:rPr>
      </w:pPr>
      <w:r>
        <w:rPr>
          <w:rFonts w:hint="eastAsia" w:ascii="宋体" w:hAnsi="宋体"/>
          <w:b/>
          <w:color w:val="000000"/>
          <w:kern w:val="0"/>
          <w:szCs w:val="21"/>
        </w:rPr>
        <w:t>第四十一条</w:t>
      </w:r>
      <w:r>
        <w:rPr>
          <w:rFonts w:ascii="宋体" w:hAnsi="宋体"/>
          <w:color w:val="000000"/>
          <w:kern w:val="0"/>
          <w:szCs w:val="21"/>
        </w:rPr>
        <w:t xml:space="preserve">  </w:t>
      </w:r>
      <w:r>
        <w:rPr>
          <w:rFonts w:hint="eastAsia" w:ascii="宋体" w:hAnsi="宋体"/>
          <w:color w:val="000000"/>
          <w:kern w:val="0"/>
          <w:szCs w:val="21"/>
        </w:rPr>
        <w:t>论文、设计、作品、实习报告、调查报告等应按教务处制定的有关模板规范撰写，与原始成绩单一并存档。</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第四十二条</w:t>
      </w:r>
      <w:r>
        <w:rPr>
          <w:rFonts w:ascii="宋体" w:hAnsi="宋体"/>
          <w:color w:val="000000"/>
          <w:kern w:val="0"/>
          <w:szCs w:val="21"/>
        </w:rPr>
        <w:t xml:space="preserve">  </w:t>
      </w:r>
      <w:r>
        <w:rPr>
          <w:rFonts w:hint="eastAsia" w:ascii="宋体" w:hAnsi="宋体"/>
          <w:color w:val="000000"/>
          <w:kern w:val="0"/>
          <w:szCs w:val="21"/>
        </w:rPr>
        <w:t>违纪、舞弊学生的考核资料由学校教务处负责整理并存档。</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第九章</w:t>
      </w:r>
      <w:r>
        <w:rPr>
          <w:rFonts w:ascii="黑体" w:hAnsi="黑体" w:eastAsia="黑体"/>
          <w:color w:val="000000"/>
          <w:sz w:val="24"/>
        </w:rPr>
        <w:t xml:space="preserve">  </w:t>
      </w:r>
      <w:r>
        <w:rPr>
          <w:rFonts w:hint="eastAsia" w:ascii="黑体" w:hAnsi="黑体" w:eastAsia="黑体"/>
          <w:color w:val="000000"/>
          <w:sz w:val="24"/>
        </w:rPr>
        <w:t>考核组织</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第四十三条</w:t>
      </w:r>
      <w:r>
        <w:rPr>
          <w:rFonts w:ascii="宋体" w:hAnsi="宋体"/>
          <w:color w:val="000000"/>
          <w:kern w:val="0"/>
          <w:szCs w:val="21"/>
        </w:rPr>
        <w:t xml:space="preserve">  </w:t>
      </w:r>
      <w:r>
        <w:rPr>
          <w:rFonts w:hint="eastAsia" w:ascii="宋体" w:hAnsi="宋体"/>
          <w:color w:val="000000"/>
          <w:kern w:val="0"/>
          <w:szCs w:val="21"/>
        </w:rPr>
        <w:t>考核期间学校成立考核工作领导小组，各二级学院成立考核工作小组。教务处在学校考核工作领导小组的领导下开展具体工作，主要负责学校考核工作的组织、指导和管理工作。对有突破性改革的课程考核，各二级学院领导要重点关注、支持，认真组织评阅、总结和推广，对其中好的做法、经验要及时向学校报告。</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第四十四条</w:t>
      </w:r>
      <w:r>
        <w:rPr>
          <w:rFonts w:ascii="宋体" w:hAnsi="宋体"/>
          <w:color w:val="000000"/>
          <w:kern w:val="0"/>
          <w:szCs w:val="21"/>
        </w:rPr>
        <w:t xml:space="preserve">  </w:t>
      </w:r>
      <w:r>
        <w:rPr>
          <w:rFonts w:hint="eastAsia" w:ascii="宋体" w:hAnsi="宋体"/>
          <w:color w:val="000000"/>
          <w:kern w:val="0"/>
          <w:szCs w:val="21"/>
        </w:rPr>
        <w:t>二级学院负责本部门组考课程的考核组织管理和考场巡查。二级学院要在考试前召开会议，学习有关考核文件，熟悉考场纪律，明确岗位职责。</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第四十五条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学生工作部（处）要加强对学生的诚信教育，组织学生学习考场规则，培养学生诚实、守纪的作风。</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第四十六条</w:t>
      </w:r>
      <w:r>
        <w:rPr>
          <w:rFonts w:ascii="宋体" w:hAnsi="宋体"/>
          <w:color w:val="000000"/>
          <w:kern w:val="0"/>
          <w:szCs w:val="21"/>
        </w:rPr>
        <w:t xml:space="preserve">  </w:t>
      </w:r>
      <w:r>
        <w:rPr>
          <w:rFonts w:hint="eastAsia" w:ascii="宋体" w:hAnsi="宋体"/>
          <w:color w:val="000000"/>
          <w:kern w:val="0"/>
          <w:szCs w:val="21"/>
        </w:rPr>
        <w:t>命题考试可于课程结束后两周内进行，非命题考试和考查一般在课程结束最后一周随堂进行。集中性实践教学环节的考核时间，依照《湖南财政经济学院本科人才培养方案》及课程教学大纲的要求执行。期末考试命题考试课程原则上不超过</w:t>
      </w:r>
      <w:r>
        <w:rPr>
          <w:rFonts w:ascii="Times New Roman" w:hAnsi="Times New Roman"/>
          <w:color w:val="000000"/>
          <w:kern w:val="0"/>
          <w:szCs w:val="21"/>
        </w:rPr>
        <w:t>3</w:t>
      </w:r>
      <w:r>
        <w:rPr>
          <w:rFonts w:hint="eastAsia" w:ascii="宋体" w:hAnsi="宋体"/>
          <w:color w:val="000000"/>
          <w:kern w:val="0"/>
          <w:szCs w:val="21"/>
        </w:rPr>
        <w:t>门。学校教务处统一组考的课程考核由教务处安排；其它课程考核由各二级学院自行安排。二级学院组织考核的课程须在考核前两周将考试安排表报学校教务处审核。</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第四十七条</w:t>
      </w:r>
      <w:r>
        <w:rPr>
          <w:rFonts w:ascii="宋体" w:hAnsi="宋体"/>
          <w:color w:val="000000"/>
          <w:kern w:val="0"/>
          <w:szCs w:val="21"/>
        </w:rPr>
        <w:t xml:space="preserve">  </w:t>
      </w:r>
      <w:r>
        <w:rPr>
          <w:rFonts w:hint="eastAsia" w:ascii="宋体" w:hAnsi="宋体"/>
          <w:color w:val="000000"/>
          <w:kern w:val="0"/>
          <w:szCs w:val="21"/>
        </w:rPr>
        <w:t>每个标准考场必须安排两名监考人员。二级学院组考的课程考核所需监考人员由二级学院安排；学校教务处统一组考的考试所需监考人员由学校教务处负责安排。</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第四十八条</w:t>
      </w:r>
      <w:r>
        <w:rPr>
          <w:rFonts w:ascii="宋体" w:hAnsi="宋体"/>
          <w:color w:val="000000"/>
          <w:kern w:val="0"/>
          <w:szCs w:val="21"/>
        </w:rPr>
        <w:t xml:space="preserve">  </w:t>
      </w:r>
      <w:r>
        <w:rPr>
          <w:rFonts w:hint="eastAsia" w:ascii="宋体" w:hAnsi="宋体"/>
          <w:color w:val="000000"/>
          <w:kern w:val="0"/>
          <w:szCs w:val="21"/>
        </w:rPr>
        <w:t>采用撰写论文、报告、设计、制作作品等考核方式的课程，应要求学生自觉遵守国家法律、学术道德规范，严格遵守基本引文规范、注释规范，不得编造、篡改研究成果、实验数据，不得抄袭、剽窃他人已发表或未公开发表的成果。凡有上述现象，一经查出，该课程按零分计，并按有关规定给予纪律处分。</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第四十九条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实行笔试的课程考核，监考人员应严格按照考场规则，认真组织考试，如实填写《考场情况记录表》。采用撰写论文、报告、设计、制作作品等方式的课程考核，指导教师应加强过程考核，认真审阅学生提交的作品，必要时应组织答辩。</w:t>
      </w:r>
    </w:p>
    <w:p>
      <w:pPr>
        <w:adjustRightInd w:val="0"/>
        <w:snapToGrid w:val="0"/>
        <w:spacing w:before="156" w:beforeLines="50" w:after="156" w:afterLines="50" w:line="360" w:lineRule="exact"/>
        <w:ind w:firstLine="470" w:firstLineChars="196"/>
        <w:jc w:val="center"/>
        <w:rPr>
          <w:rFonts w:ascii="黑体" w:hAnsi="黑体" w:eastAsia="黑体"/>
          <w:color w:val="000000"/>
          <w:sz w:val="24"/>
        </w:rPr>
      </w:pPr>
      <w:r>
        <w:rPr>
          <w:rFonts w:hint="eastAsia" w:ascii="黑体" w:hAnsi="黑体" w:eastAsia="黑体"/>
          <w:color w:val="000000"/>
          <w:sz w:val="24"/>
        </w:rPr>
        <w:t>第十章　附　则</w:t>
      </w:r>
    </w:p>
    <w:p>
      <w:pPr>
        <w:shd w:val="clear" w:color="auto" w:fill="FFFFFF"/>
        <w:adjustRightInd w:val="0"/>
        <w:snapToGrid w:val="0"/>
        <w:spacing w:line="360" w:lineRule="exact"/>
        <w:ind w:firstLine="422" w:firstLineChars="200"/>
        <w:jc w:val="left"/>
        <w:rPr>
          <w:rFonts w:hint="eastAsia" w:ascii="宋体" w:eastAsia="宋体"/>
          <w:color w:val="000000"/>
          <w:kern w:val="0"/>
          <w:szCs w:val="21"/>
          <w:lang w:eastAsia="zh-CN"/>
        </w:rPr>
      </w:pPr>
      <w:r>
        <w:rPr>
          <w:rFonts w:hint="eastAsia" w:ascii="宋体" w:hAnsi="宋体"/>
          <w:b/>
          <w:color w:val="000000"/>
          <w:kern w:val="0"/>
          <w:szCs w:val="21"/>
        </w:rPr>
        <w:t>第五十条</w:t>
      </w:r>
      <w:r>
        <w:rPr>
          <w:rFonts w:ascii="宋体" w:hAnsi="宋体"/>
          <w:color w:val="000000"/>
          <w:kern w:val="0"/>
          <w:szCs w:val="21"/>
        </w:rPr>
        <w:t xml:space="preserve">  </w:t>
      </w:r>
      <w:r>
        <w:rPr>
          <w:rFonts w:hint="eastAsia" w:ascii="宋体" w:hAnsi="宋体"/>
          <w:color w:val="000000"/>
          <w:kern w:val="0"/>
          <w:szCs w:val="21"/>
        </w:rPr>
        <w:t>中外合作办学项目引进的外方课程，考核管理办法</w:t>
      </w:r>
      <w:r>
        <w:rPr>
          <w:rFonts w:hint="eastAsia" w:ascii="宋体" w:hAnsi="宋体"/>
          <w:color w:val="000000"/>
          <w:kern w:val="0"/>
          <w:szCs w:val="21"/>
          <w:lang w:eastAsia="zh-CN"/>
        </w:rPr>
        <w:t>参照</w:t>
      </w:r>
      <w:r>
        <w:rPr>
          <w:rFonts w:hint="eastAsia" w:ascii="宋体" w:hAnsi="宋体"/>
          <w:color w:val="000000"/>
          <w:kern w:val="0"/>
          <w:szCs w:val="21"/>
        </w:rPr>
        <w:t>外方要求执行</w:t>
      </w:r>
      <w:r>
        <w:rPr>
          <w:rFonts w:hint="eastAsia" w:ascii="宋体" w:hAnsi="宋体"/>
          <w:color w:val="000000"/>
          <w:kern w:val="0"/>
          <w:szCs w:val="21"/>
          <w:lang w:eastAsia="zh-CN"/>
        </w:rPr>
        <w:t>。</w:t>
      </w:r>
    </w:p>
    <w:p>
      <w:pPr>
        <w:shd w:val="clear" w:color="auto" w:fill="FFFFFF"/>
        <w:adjustRightInd w:val="0"/>
        <w:snapToGrid w:val="0"/>
        <w:spacing w:line="360" w:lineRule="exact"/>
        <w:ind w:firstLine="422" w:firstLineChars="200"/>
        <w:jc w:val="left"/>
        <w:rPr>
          <w:rFonts w:ascii="宋体"/>
          <w:color w:val="000000"/>
          <w:kern w:val="0"/>
          <w:szCs w:val="21"/>
        </w:rPr>
      </w:pPr>
      <w:r>
        <w:rPr>
          <w:rFonts w:hint="eastAsia" w:ascii="宋体" w:hAnsi="宋体"/>
          <w:b/>
          <w:color w:val="000000"/>
          <w:kern w:val="0"/>
          <w:szCs w:val="21"/>
        </w:rPr>
        <w:t>第五十一条</w:t>
      </w:r>
      <w:r>
        <w:rPr>
          <w:rFonts w:ascii="宋体" w:hAnsi="宋体"/>
          <w:b/>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本管理规定自下发之日起开始执行，由教务处负责解释。</w:t>
      </w:r>
    </w:p>
    <w:p>
      <w:pPr>
        <w:shd w:val="clear" w:color="auto" w:fill="FFFFFF"/>
        <w:adjustRightInd w:val="0"/>
        <w:snapToGrid w:val="0"/>
        <w:spacing w:line="360" w:lineRule="exact"/>
        <w:ind w:firstLine="396" w:firstLineChars="200"/>
        <w:jc w:val="left"/>
        <w:rPr>
          <w:rFonts w:ascii="仿宋_GB2312" w:hAnsi="宋体" w:eastAsia="仿宋_GB2312"/>
          <w:color w:val="000000"/>
          <w:spacing w:val="-6"/>
          <w:kern w:val="0"/>
          <w:szCs w:val="21"/>
        </w:rPr>
      </w:pP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1</w:t>
      </w:r>
      <w:r>
        <w:rPr>
          <w:rFonts w:hint="eastAsia" w:ascii="宋体" w:hAnsi="宋体"/>
          <w:color w:val="000000"/>
          <w:kern w:val="0"/>
          <w:szCs w:val="21"/>
        </w:rPr>
        <w:t>：湖南财政经济学院学生课程考核资格取消登记表</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2</w:t>
      </w:r>
      <w:r>
        <w:rPr>
          <w:rFonts w:hint="eastAsia" w:ascii="宋体" w:hAnsi="宋体"/>
          <w:color w:val="000000"/>
          <w:kern w:val="0"/>
          <w:szCs w:val="21"/>
        </w:rPr>
        <w:t>：湖南财政经济学院课程考试命题双向细目表</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3</w:t>
      </w:r>
      <w:r>
        <w:rPr>
          <w:rFonts w:hint="eastAsia" w:ascii="宋体" w:hAnsi="宋体"/>
          <w:color w:val="000000"/>
          <w:kern w:val="0"/>
          <w:szCs w:val="21"/>
        </w:rPr>
        <w:t>：湖南财政经济学院课程考试命题审定单</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4</w:t>
      </w:r>
      <w:r>
        <w:rPr>
          <w:rFonts w:hint="eastAsia" w:ascii="宋体" w:hAnsi="宋体"/>
          <w:color w:val="000000"/>
          <w:kern w:val="0"/>
          <w:szCs w:val="21"/>
        </w:rPr>
        <w:t>：湖南财政经济学院考试试题主要类型及格式、版面要求</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5</w:t>
      </w:r>
      <w:r>
        <w:rPr>
          <w:rFonts w:hint="eastAsia" w:ascii="宋体" w:hAnsi="宋体"/>
          <w:color w:val="000000"/>
          <w:kern w:val="0"/>
          <w:szCs w:val="21"/>
        </w:rPr>
        <w:t>：湖南</w:t>
      </w:r>
      <w:r>
        <w:rPr>
          <w:rFonts w:ascii="宋体" w:hAnsi="宋体"/>
          <w:color w:val="000000"/>
          <w:kern w:val="0"/>
          <w:szCs w:val="21"/>
        </w:rPr>
        <w:t>财政经济学院课程考核试卷评阅责任人签名表</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6</w:t>
      </w:r>
      <w:r>
        <w:rPr>
          <w:rFonts w:hint="eastAsia" w:ascii="宋体" w:hAnsi="宋体"/>
          <w:color w:val="000000"/>
          <w:kern w:val="0"/>
          <w:szCs w:val="21"/>
        </w:rPr>
        <w:t>：学校统一模板的试卷装订封面（模板）</w:t>
      </w:r>
    </w:p>
    <w:p>
      <w:pPr>
        <w:shd w:val="clear" w:color="auto" w:fill="FFFFFF"/>
        <w:adjustRightInd w:val="0"/>
        <w:snapToGri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附件</w:t>
      </w:r>
      <w:r>
        <w:rPr>
          <w:rFonts w:ascii="宋体" w:hAnsi="宋体"/>
          <w:color w:val="000000"/>
          <w:kern w:val="0"/>
          <w:szCs w:val="21"/>
        </w:rPr>
        <w:t>7</w:t>
      </w:r>
      <w:r>
        <w:rPr>
          <w:rFonts w:hint="eastAsia" w:ascii="宋体" w:hAnsi="宋体"/>
          <w:color w:val="000000"/>
          <w:kern w:val="0"/>
          <w:szCs w:val="21"/>
        </w:rPr>
        <w:t>：考场情况记录表</w:t>
      </w:r>
    </w:p>
    <w:p>
      <w:pPr>
        <w:rPr>
          <w:b/>
          <w:kern w:val="0"/>
        </w:rPr>
      </w:pPr>
      <w:r>
        <w:rPr>
          <w:kern w:val="0"/>
        </w:rPr>
        <w:br w:type="page"/>
      </w:r>
      <w:r>
        <w:rPr>
          <w:rFonts w:hint="eastAsia"/>
          <w:b/>
          <w:kern w:val="0"/>
        </w:rPr>
        <w:t>附件一：</w:t>
      </w:r>
    </w:p>
    <w:p>
      <w:pPr>
        <w:spacing w:before="156" w:beforeLines="50" w:after="156" w:afterLines="50" w:line="288" w:lineRule="auto"/>
        <w:jc w:val="center"/>
        <w:rPr>
          <w:rFonts w:ascii="黑体" w:eastAsia="黑体" w:cs="宋体"/>
          <w:b/>
          <w:color w:val="000000"/>
          <w:kern w:val="0"/>
          <w:sz w:val="28"/>
          <w:szCs w:val="28"/>
        </w:rPr>
      </w:pPr>
      <w:r>
        <w:rPr>
          <w:rFonts w:hint="eastAsia" w:ascii="黑体" w:hAnsi="宋体" w:eastAsia="黑体" w:cs="宋体"/>
          <w:b/>
          <w:color w:val="000000"/>
          <w:kern w:val="0"/>
          <w:sz w:val="28"/>
          <w:szCs w:val="28"/>
        </w:rPr>
        <w:t>湖南财政经济学院学生课程考核资格取消登记表</w:t>
      </w:r>
    </w:p>
    <w:p>
      <w:pPr>
        <w:spacing w:line="288" w:lineRule="auto"/>
        <w:rPr>
          <w:rFonts w:ascii="宋体" w:cs="宋体"/>
          <w:b/>
          <w:color w:val="000000"/>
          <w:kern w:val="0"/>
          <w:szCs w:val="21"/>
        </w:rPr>
      </w:pPr>
      <w:r>
        <w:rPr>
          <w:rFonts w:hint="eastAsia" w:ascii="宋体" w:hAnsi="宋体" w:cs="宋体"/>
          <w:b/>
          <w:color w:val="000000"/>
          <w:kern w:val="0"/>
          <w:szCs w:val="21"/>
        </w:rPr>
        <w:t>二级学院：</w:t>
      </w:r>
      <w:r>
        <w:rPr>
          <w:rFonts w:ascii="宋体" w:hAnsi="宋体" w:cs="宋体"/>
          <w:b/>
          <w:color w:val="000000"/>
          <w:kern w:val="0"/>
          <w:szCs w:val="21"/>
        </w:rPr>
        <w:t xml:space="preserve">                       </w:t>
      </w:r>
      <w:r>
        <w:rPr>
          <w:rFonts w:hint="eastAsia" w:ascii="宋体" w:hAnsi="宋体" w:cs="宋体"/>
          <w:b/>
          <w:color w:val="000000"/>
          <w:kern w:val="0"/>
          <w:szCs w:val="21"/>
        </w:rPr>
        <w:t>审核人：</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73"/>
        <w:gridCol w:w="1715"/>
        <w:gridCol w:w="260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班级</w:t>
            </w:r>
          </w:p>
        </w:tc>
        <w:tc>
          <w:tcPr>
            <w:tcW w:w="137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学生姓名</w:t>
            </w:r>
          </w:p>
        </w:tc>
        <w:tc>
          <w:tcPr>
            <w:tcW w:w="171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学号</w:t>
            </w:r>
          </w:p>
        </w:tc>
        <w:tc>
          <w:tcPr>
            <w:tcW w:w="26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考核资格取消原因</w:t>
            </w:r>
          </w:p>
        </w:tc>
        <w:tc>
          <w:tcPr>
            <w:tcW w:w="24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课程授课教师签名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373"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1715"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602"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c>
          <w:tcPr>
            <w:tcW w:w="2451" w:type="dxa"/>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b/>
                <w:color w:val="000000"/>
                <w:kern w:val="0"/>
                <w:sz w:val="18"/>
                <w:szCs w:val="18"/>
              </w:rPr>
            </w:pPr>
          </w:p>
        </w:tc>
      </w:tr>
    </w:tbl>
    <w:p>
      <w:pPr>
        <w:spacing w:line="288" w:lineRule="auto"/>
        <w:rPr>
          <w:color w:val="000000"/>
          <w:sz w:val="22"/>
          <w:szCs w:val="22"/>
        </w:rPr>
      </w:pPr>
    </w:p>
    <w:p>
      <w:pPr>
        <w:spacing w:line="288" w:lineRule="auto"/>
        <w:jc w:val="center"/>
        <w:rPr>
          <w:color w:val="000000"/>
          <w:sz w:val="22"/>
          <w:szCs w:val="22"/>
        </w:rPr>
      </w:pPr>
      <w:r>
        <w:rPr>
          <w:color w:val="000000"/>
          <w:sz w:val="22"/>
          <w:szCs w:val="22"/>
        </w:rPr>
        <w:t xml:space="preserve">               </w:t>
      </w:r>
      <w:r>
        <w:rPr>
          <w:rFonts w:hint="eastAsia"/>
          <w:color w:val="000000"/>
          <w:sz w:val="22"/>
          <w:szCs w:val="22"/>
        </w:rPr>
        <w:t>　　　　　　　　　　　　　</w:t>
      </w:r>
    </w:p>
    <w:p>
      <w:pPr>
        <w:spacing w:line="288" w:lineRule="auto"/>
        <w:jc w:val="center"/>
        <w:rPr>
          <w:color w:val="000000"/>
          <w:sz w:val="22"/>
          <w:szCs w:val="22"/>
        </w:rPr>
      </w:pPr>
      <w:r>
        <w:rPr>
          <w:rFonts w:hint="eastAsia"/>
          <w:color w:val="000000"/>
          <w:sz w:val="22"/>
          <w:szCs w:val="22"/>
        </w:rPr>
        <w:t xml:space="preserve">                                           二级学院院长：</w:t>
      </w:r>
    </w:p>
    <w:p>
      <w:pPr>
        <w:spacing w:line="288" w:lineRule="auto"/>
        <w:jc w:val="right"/>
        <w:rPr>
          <w:color w:val="000000"/>
          <w:sz w:val="22"/>
          <w:szCs w:val="22"/>
        </w:rPr>
      </w:pPr>
      <w:r>
        <w:rPr>
          <w:color w:val="000000"/>
          <w:sz w:val="22"/>
          <w:szCs w:val="22"/>
        </w:rPr>
        <w:t xml:space="preserve">                                            </w:t>
      </w:r>
    </w:p>
    <w:p>
      <w:pPr>
        <w:spacing w:line="288" w:lineRule="auto"/>
        <w:jc w:val="center"/>
        <w:rPr>
          <w:color w:val="000000"/>
          <w:sz w:val="22"/>
          <w:szCs w:val="22"/>
        </w:rPr>
      </w:pPr>
      <w:r>
        <w:rPr>
          <w:rFonts w:hint="eastAsia"/>
          <w:color w:val="000000"/>
          <w:sz w:val="22"/>
          <w:szCs w:val="22"/>
        </w:rPr>
        <w:t xml:space="preserve">                                            年</w:t>
      </w:r>
      <w:r>
        <w:rPr>
          <w:color w:val="000000"/>
          <w:sz w:val="22"/>
          <w:szCs w:val="22"/>
        </w:rPr>
        <w:t xml:space="preserve">    </w:t>
      </w:r>
      <w:r>
        <w:rPr>
          <w:rFonts w:hint="eastAsia"/>
          <w:color w:val="000000"/>
          <w:sz w:val="22"/>
          <w:szCs w:val="22"/>
        </w:rPr>
        <w:t>月</w:t>
      </w:r>
      <w:r>
        <w:rPr>
          <w:color w:val="000000"/>
          <w:sz w:val="22"/>
          <w:szCs w:val="22"/>
        </w:rPr>
        <w:t xml:space="preserve">    </w:t>
      </w:r>
      <w:r>
        <w:rPr>
          <w:rFonts w:hint="eastAsia"/>
          <w:color w:val="000000"/>
          <w:sz w:val="22"/>
          <w:szCs w:val="22"/>
        </w:rPr>
        <w:t>日</w:t>
      </w:r>
    </w:p>
    <w:p>
      <w:pPr>
        <w:spacing w:line="288" w:lineRule="auto"/>
        <w:jc w:val="right"/>
        <w:rPr>
          <w:color w:val="000000"/>
          <w:sz w:val="22"/>
          <w:szCs w:val="22"/>
        </w:rPr>
      </w:pPr>
    </w:p>
    <w:p>
      <w:pPr>
        <w:spacing w:line="288" w:lineRule="auto"/>
        <w:jc w:val="right"/>
        <w:rPr>
          <w:color w:val="000000"/>
          <w:sz w:val="22"/>
          <w:szCs w:val="22"/>
        </w:rPr>
      </w:pPr>
    </w:p>
    <w:p>
      <w:pPr>
        <w:spacing w:line="288" w:lineRule="auto"/>
        <w:jc w:val="right"/>
        <w:rPr>
          <w:color w:val="000000"/>
          <w:sz w:val="22"/>
          <w:szCs w:val="22"/>
        </w:rPr>
      </w:pPr>
    </w:p>
    <w:p>
      <w:pPr>
        <w:spacing w:line="288" w:lineRule="auto"/>
        <w:jc w:val="left"/>
        <w:rPr>
          <w:color w:val="000000"/>
          <w:sz w:val="22"/>
          <w:szCs w:val="22"/>
        </w:rPr>
      </w:pPr>
    </w:p>
    <w:p>
      <w:pPr>
        <w:rPr>
          <w:b/>
          <w:kern w:val="0"/>
        </w:rPr>
      </w:pPr>
      <w:r>
        <w:rPr>
          <w:b/>
          <w:kern w:val="0"/>
        </w:rPr>
        <w:br w:type="page"/>
      </w:r>
      <w:r>
        <w:rPr>
          <w:rFonts w:hint="eastAsia"/>
          <w:b/>
          <w:kern w:val="0"/>
        </w:rPr>
        <w:t>附件二：</w:t>
      </w:r>
    </w:p>
    <w:p>
      <w:pPr>
        <w:spacing w:line="288" w:lineRule="auto"/>
        <w:jc w:val="center"/>
        <w:rPr>
          <w:rFonts w:ascii="黑体" w:eastAsia="黑体" w:cs="宋体"/>
          <w:b/>
          <w:color w:val="000000"/>
          <w:kern w:val="0"/>
          <w:sz w:val="28"/>
          <w:szCs w:val="28"/>
        </w:rPr>
      </w:pPr>
      <w:r>
        <w:rPr>
          <w:rFonts w:hint="eastAsia" w:ascii="黑体" w:hAnsi="宋体" w:eastAsia="黑体" w:cs="宋体"/>
          <w:b/>
          <w:color w:val="000000"/>
          <w:kern w:val="0"/>
          <w:sz w:val="28"/>
          <w:szCs w:val="28"/>
        </w:rPr>
        <w:t>湖南财政经济学院课程考试命题双向细目表</w:t>
      </w:r>
    </w:p>
    <w:p>
      <w:pPr>
        <w:spacing w:before="156" w:beforeLines="50" w:after="156" w:afterLines="50" w:line="288" w:lineRule="auto"/>
        <w:rPr>
          <w:rFonts w:ascii="宋体" w:cs="宋体"/>
          <w:b/>
          <w:color w:val="000000"/>
          <w:kern w:val="0"/>
          <w:szCs w:val="21"/>
        </w:rPr>
      </w:pPr>
      <w:r>
        <w:rPr>
          <w:rFonts w:hint="eastAsia" w:ascii="宋体" w:hAnsi="宋体" w:cs="宋体"/>
          <w:b/>
          <w:color w:val="000000"/>
          <w:kern w:val="0"/>
          <w:szCs w:val="21"/>
        </w:rPr>
        <w:t>二级学院</w:t>
      </w:r>
      <w:r>
        <w:rPr>
          <w:rFonts w:ascii="宋体" w:hAnsi="宋体" w:cs="宋体"/>
          <w:b/>
          <w:color w:val="000000"/>
          <w:kern w:val="0"/>
          <w:szCs w:val="21"/>
        </w:rPr>
        <w:t xml:space="preserve"> </w:t>
      </w:r>
      <w:r>
        <w:rPr>
          <w:rFonts w:ascii="宋体" w:hAnsi="宋体" w:cs="宋体"/>
          <w:b/>
          <w:color w:val="000000"/>
          <w:kern w:val="0"/>
          <w:szCs w:val="21"/>
          <w:u w:val="single"/>
        </w:rPr>
        <w:t xml:space="preserve">              </w:t>
      </w:r>
      <w:r>
        <w:rPr>
          <w:rFonts w:ascii="宋体" w:hAnsi="宋体" w:cs="宋体"/>
          <w:b/>
          <w:color w:val="000000"/>
          <w:kern w:val="0"/>
          <w:szCs w:val="21"/>
        </w:rPr>
        <w:t xml:space="preserve"> </w:t>
      </w:r>
      <w:r>
        <w:rPr>
          <w:rFonts w:hint="eastAsia" w:ascii="宋体" w:hAnsi="宋体" w:cs="宋体"/>
          <w:b/>
          <w:color w:val="000000"/>
          <w:kern w:val="0"/>
          <w:szCs w:val="21"/>
        </w:rPr>
        <w:t>考试科目</w:t>
      </w:r>
      <w:r>
        <w:rPr>
          <w:rFonts w:ascii="宋体" w:hAnsi="宋体" w:cs="宋体"/>
          <w:b/>
          <w:color w:val="000000"/>
          <w:kern w:val="0"/>
          <w:szCs w:val="21"/>
        </w:rPr>
        <w:t xml:space="preserve"> </w:t>
      </w:r>
      <w:r>
        <w:rPr>
          <w:rFonts w:ascii="宋体" w:hAnsi="宋体" w:cs="宋体"/>
          <w:b/>
          <w:color w:val="000000"/>
          <w:kern w:val="0"/>
          <w:szCs w:val="21"/>
          <w:u w:val="single"/>
        </w:rPr>
        <w:t xml:space="preserve">                  </w:t>
      </w:r>
      <w:r>
        <w:rPr>
          <w:rFonts w:ascii="宋体" w:hAnsi="宋体" w:cs="宋体"/>
          <w:b/>
          <w:color w:val="000000"/>
          <w:kern w:val="0"/>
          <w:szCs w:val="21"/>
        </w:rPr>
        <w:t xml:space="preserve">  </w:t>
      </w:r>
      <w:r>
        <w:rPr>
          <w:rFonts w:hint="eastAsia" w:ascii="宋体" w:hAnsi="宋体" w:cs="宋体"/>
          <w:b/>
          <w:color w:val="000000"/>
          <w:kern w:val="0"/>
          <w:szCs w:val="21"/>
        </w:rPr>
        <w:t>考试时间</w:t>
      </w:r>
      <w:r>
        <w:rPr>
          <w:rFonts w:ascii="宋体" w:hAnsi="宋体" w:cs="宋体"/>
          <w:b/>
          <w:color w:val="000000"/>
          <w:kern w:val="0"/>
          <w:szCs w:val="21"/>
        </w:rPr>
        <w:t xml:space="preserve">  </w:t>
      </w:r>
      <w:r>
        <w:rPr>
          <w:rFonts w:ascii="宋体" w:hAnsi="宋体" w:cs="宋体"/>
          <w:b/>
          <w:color w:val="000000"/>
          <w:kern w:val="0"/>
          <w:szCs w:val="21"/>
          <w:u w:val="single"/>
        </w:rPr>
        <w:t xml:space="preserve">                        </w:t>
      </w:r>
      <w:r>
        <w:rPr>
          <w:rFonts w:ascii="宋体" w:hAnsi="宋体" w:cs="宋体"/>
          <w:b/>
          <w:color w:val="000000"/>
          <w:kern w:val="0"/>
          <w:szCs w:val="21"/>
        </w:rPr>
        <w:t xml:space="preserve">           </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160"/>
        <w:gridCol w:w="681"/>
        <w:gridCol w:w="681"/>
        <w:gridCol w:w="681"/>
        <w:gridCol w:w="681"/>
        <w:gridCol w:w="681"/>
        <w:gridCol w:w="681"/>
        <w:gridCol w:w="681"/>
        <w:gridCol w:w="681"/>
        <w:gridCol w:w="681"/>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考试内容（章节或知识点）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题型</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识记</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理解</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应用</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分析</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题数</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占分</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题数</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占分</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题数</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占分</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题数</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占分</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题数</w:t>
            </w: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第一章</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w:t>
            </w:r>
            <w:r>
              <w:rPr>
                <w:rFonts w:hint="eastAsia" w:ascii="宋体" w:hAnsi="宋体" w:cs="宋体"/>
                <w:color w:val="000000"/>
                <w:kern w:val="0"/>
                <w:sz w:val="18"/>
                <w:szCs w:val="18"/>
              </w:rPr>
              <w:t>、单选题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2</w:t>
            </w:r>
            <w:r>
              <w:rPr>
                <w:rFonts w:hint="eastAsia" w:ascii="宋体" w:hAnsi="宋体" w:cs="宋体"/>
                <w:color w:val="000000"/>
                <w:kern w:val="0"/>
                <w:sz w:val="18"/>
                <w:szCs w:val="18"/>
              </w:rPr>
              <w:t>、填空题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第二章</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w:t>
            </w:r>
            <w:r>
              <w:rPr>
                <w:rFonts w:hint="eastAsia" w:ascii="宋体" w:hAnsi="宋体" w:cs="宋体"/>
                <w:color w:val="000000"/>
                <w:kern w:val="0"/>
                <w:sz w:val="18"/>
                <w:szCs w:val="18"/>
              </w:rPr>
              <w:t>、单选题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2</w:t>
            </w:r>
            <w:r>
              <w:rPr>
                <w:rFonts w:hint="eastAsia" w:ascii="宋体" w:hAnsi="宋体" w:cs="宋体"/>
                <w:color w:val="000000"/>
                <w:kern w:val="0"/>
                <w:sz w:val="18"/>
                <w:szCs w:val="18"/>
              </w:rPr>
              <w:t>、填空题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第三章</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w:t>
            </w:r>
            <w:r>
              <w:rPr>
                <w:rFonts w:hint="eastAsia" w:ascii="宋体" w:hAnsi="宋体" w:cs="宋体"/>
                <w:color w:val="000000"/>
                <w:kern w:val="0"/>
                <w:sz w:val="18"/>
                <w:szCs w:val="18"/>
              </w:rPr>
              <w:t>、单选题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2</w:t>
            </w:r>
            <w:r>
              <w:rPr>
                <w:rFonts w:hint="eastAsia" w:ascii="宋体" w:hAnsi="宋体" w:cs="宋体"/>
                <w:color w:val="000000"/>
                <w:kern w:val="0"/>
                <w:sz w:val="18"/>
                <w:szCs w:val="18"/>
              </w:rPr>
              <w:t>、填空题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第四章</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w:t>
            </w:r>
            <w:r>
              <w:rPr>
                <w:rFonts w:hint="eastAsia" w:ascii="宋体" w:hAnsi="宋体" w:cs="宋体"/>
                <w:color w:val="000000"/>
                <w:kern w:val="0"/>
                <w:sz w:val="18"/>
                <w:szCs w:val="18"/>
              </w:rPr>
              <w:t>、单选题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2</w:t>
            </w:r>
            <w:r>
              <w:rPr>
                <w:rFonts w:hint="eastAsia" w:ascii="宋体" w:hAnsi="宋体" w:cs="宋体"/>
                <w:color w:val="000000"/>
                <w:kern w:val="0"/>
                <w:sz w:val="18"/>
                <w:szCs w:val="18"/>
              </w:rPr>
              <w:t>、填空题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第五章</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w:t>
            </w:r>
            <w:r>
              <w:rPr>
                <w:rFonts w:hint="eastAsia" w:ascii="宋体" w:hAnsi="宋体" w:cs="宋体"/>
                <w:color w:val="000000"/>
                <w:kern w:val="0"/>
                <w:sz w:val="18"/>
                <w:szCs w:val="18"/>
              </w:rPr>
              <w:t>、单选题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2</w:t>
            </w:r>
            <w:r>
              <w:rPr>
                <w:rFonts w:hint="eastAsia" w:ascii="宋体" w:hAnsi="宋体" w:cs="宋体"/>
                <w:color w:val="000000"/>
                <w:kern w:val="0"/>
                <w:sz w:val="18"/>
                <w:szCs w:val="18"/>
              </w:rPr>
              <w:t>、填空题</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kern w:val="0"/>
                <w:sz w:val="18"/>
                <w:szCs w:val="18"/>
              </w:rPr>
            </w:pPr>
            <w:r>
              <w:rPr>
                <w:rFonts w:ascii="Times New Roman" w:hAnsi="Times New Roman"/>
                <w:color w:val="000000"/>
                <w:kern w:val="0"/>
                <w:sz w:val="18"/>
                <w:szCs w:val="18"/>
              </w:rPr>
              <w:t>100</w:t>
            </w:r>
          </w:p>
        </w:tc>
      </w:tr>
    </w:tbl>
    <w:p>
      <w:pPr>
        <w:spacing w:line="288" w:lineRule="auto"/>
        <w:rPr>
          <w:color w:val="000000"/>
          <w:szCs w:val="21"/>
        </w:rPr>
      </w:pPr>
      <w:r>
        <w:rPr>
          <w:rFonts w:ascii="宋体" w:hAnsi="宋体" w:cs="宋体"/>
          <w:b/>
          <w:color w:val="000000"/>
          <w:kern w:val="0"/>
          <w:szCs w:val="21"/>
        </w:rPr>
        <w:t xml:space="preserve">      </w:t>
      </w:r>
      <w:r>
        <w:rPr>
          <w:rFonts w:hint="eastAsia"/>
          <w:color w:val="000000"/>
          <w:szCs w:val="21"/>
        </w:rPr>
        <w:t>教研室主任：</w:t>
      </w:r>
      <w:r>
        <w:rPr>
          <w:color w:val="000000"/>
          <w:szCs w:val="21"/>
        </w:rPr>
        <w:t xml:space="preserve">              </w:t>
      </w:r>
      <w:r>
        <w:rPr>
          <w:rFonts w:hint="eastAsia"/>
          <w:color w:val="000000"/>
          <w:szCs w:val="21"/>
        </w:rPr>
        <w:t>二级学院院长：</w:t>
      </w:r>
    </w:p>
    <w:p>
      <w:pPr>
        <w:spacing w:line="288" w:lineRule="auto"/>
        <w:ind w:right="840"/>
        <w:jc w:val="right"/>
        <w:rPr>
          <w:color w:val="000000"/>
          <w:szCs w:val="21"/>
        </w:rPr>
      </w:pP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p>
    <w:p>
      <w:pPr>
        <w:rPr>
          <w:b/>
          <w:kern w:val="0"/>
        </w:rPr>
      </w:pPr>
      <w:r>
        <w:rPr>
          <w:b/>
          <w:kern w:val="0"/>
        </w:rPr>
        <w:br w:type="page"/>
      </w:r>
      <w:r>
        <w:rPr>
          <w:rFonts w:hint="eastAsia"/>
          <w:b/>
          <w:kern w:val="0"/>
        </w:rPr>
        <w:t>附件三：</w:t>
      </w:r>
    </w:p>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湖南财政经济学院课程考试命题审定单</w:t>
      </w:r>
    </w:p>
    <w:p>
      <w:pPr>
        <w:spacing w:line="288" w:lineRule="auto"/>
        <w:rPr>
          <w:color w:val="000000"/>
          <w:sz w:val="18"/>
          <w:szCs w:val="21"/>
        </w:rPr>
      </w:pPr>
    </w:p>
    <w:tbl>
      <w:tblPr>
        <w:tblStyle w:val="6"/>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346"/>
        <w:gridCol w:w="126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二级学院</w:t>
            </w:r>
          </w:p>
        </w:tc>
        <w:tc>
          <w:tcPr>
            <w:tcW w:w="334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教</w:t>
            </w:r>
            <w:r>
              <w:rPr>
                <w:color w:val="000000"/>
                <w:szCs w:val="21"/>
              </w:rPr>
              <w:t xml:space="preserve"> </w:t>
            </w:r>
            <w:r>
              <w:rPr>
                <w:rFonts w:hint="eastAsia"/>
                <w:color w:val="000000"/>
                <w:szCs w:val="21"/>
              </w:rPr>
              <w:t>研</w:t>
            </w:r>
            <w:r>
              <w:rPr>
                <w:color w:val="000000"/>
                <w:szCs w:val="21"/>
              </w:rPr>
              <w:t xml:space="preserve"> </w:t>
            </w:r>
            <w:r>
              <w:rPr>
                <w:rFonts w:hint="eastAsia"/>
                <w:color w:val="000000"/>
                <w:szCs w:val="21"/>
              </w:rPr>
              <w:t>室</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课程名称</w:t>
            </w:r>
          </w:p>
        </w:tc>
        <w:tc>
          <w:tcPr>
            <w:tcW w:w="334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命</w:t>
            </w:r>
            <w:r>
              <w:rPr>
                <w:color w:val="000000"/>
                <w:szCs w:val="21"/>
              </w:rPr>
              <w:t xml:space="preserve"> </w:t>
            </w:r>
            <w:r>
              <w:rPr>
                <w:rFonts w:hint="eastAsia"/>
                <w:color w:val="000000"/>
                <w:szCs w:val="21"/>
              </w:rPr>
              <w:t>题</w:t>
            </w:r>
            <w:r>
              <w:rPr>
                <w:color w:val="000000"/>
                <w:szCs w:val="21"/>
              </w:rPr>
              <w:t xml:space="preserve"> </w:t>
            </w:r>
            <w:r>
              <w:rPr>
                <w:rFonts w:hint="eastAsia"/>
                <w:color w:val="000000"/>
                <w:szCs w:val="21"/>
              </w:rPr>
              <w:t>人</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适用专业</w:t>
            </w:r>
          </w:p>
        </w:tc>
        <w:tc>
          <w:tcPr>
            <w:tcW w:w="334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命题时间</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考试时量</w:t>
            </w:r>
          </w:p>
        </w:tc>
        <w:tc>
          <w:tcPr>
            <w:tcW w:w="334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标准答案</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color w:val="000000"/>
                <w:szCs w:val="21"/>
              </w:rPr>
            </w:pPr>
            <w:r>
              <w:rPr>
                <w:rFonts w:hint="eastAsia"/>
                <w:color w:val="000000"/>
                <w:szCs w:val="21"/>
              </w:rPr>
              <w:t>□有</w:t>
            </w:r>
            <w:r>
              <w:rPr>
                <w:color w:val="000000"/>
                <w:szCs w:val="21"/>
              </w:rPr>
              <w:t xml:space="preserve"> </w:t>
            </w:r>
            <w:r>
              <w:rPr>
                <w:rFonts w:hint="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0" w:hRule="atLeast"/>
          <w:jc w:val="center"/>
        </w:trPr>
        <w:tc>
          <w:tcPr>
            <w:tcW w:w="2048" w:type="dxa"/>
            <w:tcBorders>
              <w:top w:val="single" w:color="auto" w:sz="4" w:space="0"/>
              <w:left w:val="single" w:color="auto" w:sz="4" w:space="0"/>
              <w:bottom w:val="single" w:color="auto" w:sz="4" w:space="0"/>
              <w:right w:val="single" w:color="auto" w:sz="4" w:space="0"/>
            </w:tcBorders>
            <w:textDirection w:val="tbRlV"/>
            <w:vAlign w:val="center"/>
          </w:tcPr>
          <w:p>
            <w:pPr>
              <w:spacing w:line="288" w:lineRule="auto"/>
              <w:ind w:left="113" w:right="113"/>
              <w:jc w:val="center"/>
              <w:rPr>
                <w:color w:val="000000"/>
                <w:szCs w:val="21"/>
              </w:rPr>
            </w:pPr>
            <w:r>
              <w:rPr>
                <w:rFonts w:hint="eastAsia"/>
                <w:color w:val="000000"/>
                <w:szCs w:val="21"/>
              </w:rPr>
              <w:t>教</w:t>
            </w:r>
            <w:r>
              <w:rPr>
                <w:color w:val="000000"/>
                <w:szCs w:val="21"/>
              </w:rPr>
              <w:t xml:space="preserve"> </w:t>
            </w:r>
            <w:r>
              <w:rPr>
                <w:rFonts w:hint="eastAsia"/>
                <w:color w:val="000000"/>
                <w:szCs w:val="21"/>
              </w:rPr>
              <w:t>研</w:t>
            </w:r>
            <w:r>
              <w:rPr>
                <w:color w:val="000000"/>
                <w:szCs w:val="21"/>
              </w:rPr>
              <w:t xml:space="preserve"> </w:t>
            </w:r>
            <w:r>
              <w:rPr>
                <w:rFonts w:hint="eastAsia"/>
                <w:color w:val="000000"/>
                <w:szCs w:val="21"/>
              </w:rPr>
              <w:t>室</w:t>
            </w:r>
            <w:r>
              <w:rPr>
                <w:color w:val="000000"/>
                <w:szCs w:val="21"/>
              </w:rPr>
              <w:t xml:space="preserve"> </w:t>
            </w:r>
            <w:r>
              <w:rPr>
                <w:rFonts w:hint="eastAsia"/>
                <w:color w:val="000000"/>
                <w:szCs w:val="21"/>
              </w:rPr>
              <w:t>审</w:t>
            </w:r>
            <w:r>
              <w:rPr>
                <w:color w:val="000000"/>
                <w:szCs w:val="21"/>
              </w:rPr>
              <w:t xml:space="preserve"> </w:t>
            </w:r>
            <w:r>
              <w:rPr>
                <w:rFonts w:hint="eastAsia"/>
                <w:color w:val="000000"/>
                <w:szCs w:val="21"/>
              </w:rPr>
              <w:t>定</w:t>
            </w:r>
            <w:r>
              <w:rPr>
                <w:color w:val="000000"/>
                <w:szCs w:val="21"/>
              </w:rPr>
              <w:t xml:space="preserve"> </w:t>
            </w:r>
            <w:r>
              <w:rPr>
                <w:rFonts w:hint="eastAsia"/>
                <w:color w:val="000000"/>
                <w:szCs w:val="21"/>
              </w:rPr>
              <w:t>意</w:t>
            </w:r>
            <w:r>
              <w:rPr>
                <w:color w:val="000000"/>
                <w:szCs w:val="21"/>
              </w:rPr>
              <w:t xml:space="preserve"> </w:t>
            </w:r>
            <w:r>
              <w:rPr>
                <w:rFonts w:hint="eastAsia"/>
                <w:color w:val="000000"/>
                <w:szCs w:val="21"/>
              </w:rPr>
              <w:t>见</w:t>
            </w:r>
          </w:p>
        </w:tc>
        <w:tc>
          <w:tcPr>
            <w:tcW w:w="699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jc w:val="right"/>
              <w:rPr>
                <w:color w:val="000000"/>
                <w:szCs w:val="21"/>
              </w:rPr>
            </w:pPr>
            <w:r>
              <w:rPr>
                <w:rFonts w:hint="eastAsia"/>
                <w:color w:val="000000"/>
                <w:szCs w:val="21"/>
              </w:rPr>
              <w:t>教研室主任：</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0" w:hRule="atLeast"/>
          <w:jc w:val="center"/>
        </w:trPr>
        <w:tc>
          <w:tcPr>
            <w:tcW w:w="2048" w:type="dxa"/>
            <w:tcBorders>
              <w:top w:val="single" w:color="auto" w:sz="4" w:space="0"/>
              <w:left w:val="single" w:color="auto" w:sz="4" w:space="0"/>
              <w:bottom w:val="single" w:color="auto" w:sz="4" w:space="0"/>
              <w:right w:val="single" w:color="auto" w:sz="4" w:space="0"/>
            </w:tcBorders>
            <w:textDirection w:val="tbRlV"/>
            <w:vAlign w:val="center"/>
          </w:tcPr>
          <w:p>
            <w:pPr>
              <w:spacing w:line="288" w:lineRule="auto"/>
              <w:ind w:left="113" w:right="113"/>
              <w:jc w:val="center"/>
              <w:rPr>
                <w:color w:val="000000"/>
                <w:szCs w:val="21"/>
              </w:rPr>
            </w:pPr>
            <w:r>
              <w:rPr>
                <w:rFonts w:hint="eastAsia"/>
                <w:color w:val="000000"/>
                <w:szCs w:val="21"/>
              </w:rPr>
              <w:t>二</w:t>
            </w:r>
            <w:r>
              <w:rPr>
                <w:color w:val="000000"/>
                <w:szCs w:val="21"/>
              </w:rPr>
              <w:t xml:space="preserve"> </w:t>
            </w:r>
            <w:r>
              <w:rPr>
                <w:rFonts w:hint="eastAsia"/>
                <w:color w:val="000000"/>
                <w:szCs w:val="21"/>
              </w:rPr>
              <w:t>级</w:t>
            </w:r>
            <w:r>
              <w:rPr>
                <w:color w:val="000000"/>
                <w:szCs w:val="21"/>
              </w:rPr>
              <w:t xml:space="preserve"> </w:t>
            </w:r>
            <w:r>
              <w:rPr>
                <w:rFonts w:hint="eastAsia"/>
                <w:color w:val="000000"/>
                <w:szCs w:val="21"/>
              </w:rPr>
              <w:t>学</w:t>
            </w:r>
            <w:r>
              <w:rPr>
                <w:color w:val="000000"/>
                <w:szCs w:val="21"/>
              </w:rPr>
              <w:t xml:space="preserve"> </w:t>
            </w:r>
            <w:r>
              <w:rPr>
                <w:rFonts w:hint="eastAsia"/>
                <w:color w:val="000000"/>
                <w:szCs w:val="21"/>
              </w:rPr>
              <w:t>院</w:t>
            </w:r>
            <w:r>
              <w:rPr>
                <w:color w:val="000000"/>
                <w:szCs w:val="21"/>
              </w:rPr>
              <w:t xml:space="preserve"> </w:t>
            </w:r>
            <w:r>
              <w:rPr>
                <w:rFonts w:hint="eastAsia"/>
                <w:color w:val="000000"/>
                <w:szCs w:val="21"/>
              </w:rPr>
              <w:t>审</w:t>
            </w:r>
            <w:r>
              <w:rPr>
                <w:color w:val="000000"/>
                <w:szCs w:val="21"/>
              </w:rPr>
              <w:t xml:space="preserve"> </w:t>
            </w:r>
            <w:r>
              <w:rPr>
                <w:rFonts w:hint="eastAsia"/>
                <w:color w:val="000000"/>
                <w:szCs w:val="21"/>
              </w:rPr>
              <w:t>定</w:t>
            </w:r>
            <w:r>
              <w:rPr>
                <w:color w:val="000000"/>
                <w:szCs w:val="21"/>
              </w:rPr>
              <w:t xml:space="preserve"> </w:t>
            </w:r>
            <w:r>
              <w:rPr>
                <w:rFonts w:hint="eastAsia"/>
                <w:color w:val="000000"/>
                <w:szCs w:val="21"/>
              </w:rPr>
              <w:t>意</w:t>
            </w:r>
            <w:r>
              <w:rPr>
                <w:color w:val="000000"/>
                <w:szCs w:val="21"/>
              </w:rPr>
              <w:t xml:space="preserve"> </w:t>
            </w:r>
            <w:r>
              <w:rPr>
                <w:rFonts w:hint="eastAsia"/>
                <w:color w:val="000000"/>
                <w:szCs w:val="21"/>
              </w:rPr>
              <w:t>见</w:t>
            </w:r>
          </w:p>
        </w:tc>
        <w:tc>
          <w:tcPr>
            <w:tcW w:w="699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jc w:val="center"/>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rPr>
                <w:color w:val="000000"/>
                <w:szCs w:val="21"/>
              </w:rPr>
            </w:pPr>
          </w:p>
          <w:p>
            <w:pPr>
              <w:spacing w:line="288" w:lineRule="auto"/>
              <w:jc w:val="right"/>
              <w:rPr>
                <w:color w:val="000000"/>
                <w:szCs w:val="21"/>
              </w:rPr>
            </w:pPr>
            <w:r>
              <w:rPr>
                <w:rFonts w:hint="eastAsia"/>
                <w:color w:val="000000"/>
                <w:szCs w:val="21"/>
              </w:rPr>
              <w:t>二级学院院长：</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tc>
      </w:tr>
    </w:tbl>
    <w:p>
      <w:pPr>
        <w:spacing w:line="288" w:lineRule="auto"/>
        <w:rPr>
          <w:rFonts w:ascii="仿宋_GB2312" w:hAnsi="宋体" w:eastAsia="仿宋_GB2312"/>
          <w:color w:val="000000"/>
          <w:kern w:val="0"/>
          <w:szCs w:val="21"/>
        </w:rPr>
      </w:pPr>
    </w:p>
    <w:p>
      <w:pPr>
        <w:spacing w:line="288" w:lineRule="auto"/>
        <w:rPr>
          <w:rFonts w:ascii="仿宋_GB2312" w:hAnsi="宋体" w:eastAsia="仿宋_GB2312"/>
          <w:color w:val="000000"/>
          <w:kern w:val="0"/>
          <w:szCs w:val="21"/>
        </w:rPr>
      </w:pPr>
    </w:p>
    <w:p>
      <w:pPr>
        <w:rPr>
          <w:b/>
          <w:kern w:val="0"/>
        </w:rPr>
      </w:pPr>
      <w:r>
        <w:rPr>
          <w:kern w:val="0"/>
        </w:rPr>
        <w:br w:type="page"/>
      </w:r>
      <w:r>
        <w:rPr>
          <w:rFonts w:hint="eastAsia"/>
          <w:b/>
          <w:kern w:val="0"/>
        </w:rPr>
        <w:t>附件四：</w:t>
      </w:r>
    </w:p>
    <w:p>
      <w:pPr>
        <w:rPr>
          <w:b/>
          <w:kern w:val="0"/>
        </w:rPr>
      </w:pPr>
    </w:p>
    <w:p>
      <w:pPr>
        <w:spacing w:line="288" w:lineRule="auto"/>
        <w:jc w:val="center"/>
        <w:rPr>
          <w:rFonts w:ascii="黑体" w:eastAsia="黑体" w:cs="宋体"/>
          <w:b/>
          <w:color w:val="000000"/>
          <w:kern w:val="0"/>
          <w:sz w:val="28"/>
          <w:szCs w:val="28"/>
        </w:rPr>
      </w:pPr>
      <w:r>
        <w:rPr>
          <w:rFonts w:hint="eastAsia" w:ascii="黑体" w:hAnsi="宋体" w:eastAsia="黑体" w:cs="宋体"/>
          <w:b/>
          <w:color w:val="000000"/>
          <w:kern w:val="0"/>
          <w:sz w:val="28"/>
          <w:szCs w:val="28"/>
        </w:rPr>
        <w:t>湖南财政经济学院考试试题主要类型及格式、版面要求</w:t>
      </w:r>
    </w:p>
    <w:p>
      <w:pPr>
        <w:spacing w:line="288" w:lineRule="auto"/>
        <w:jc w:val="center"/>
        <w:rPr>
          <w:rFonts w:ascii="宋体" w:cs="宋体"/>
          <w:b/>
          <w:color w:val="000000"/>
          <w:kern w:val="0"/>
          <w:sz w:val="22"/>
          <w:szCs w:val="22"/>
        </w:rPr>
      </w:pPr>
    </w:p>
    <w:p>
      <w:pPr>
        <w:spacing w:line="360" w:lineRule="exact"/>
        <w:ind w:firstLine="413" w:firstLineChars="196"/>
        <w:jc w:val="left"/>
        <w:rPr>
          <w:rFonts w:ascii="宋体" w:cs="宋体"/>
          <w:color w:val="000000"/>
          <w:kern w:val="0"/>
          <w:szCs w:val="21"/>
        </w:rPr>
      </w:pPr>
      <w:r>
        <w:rPr>
          <w:rFonts w:hint="eastAsia" w:ascii="宋体" w:hAnsi="宋体" w:cs="宋体"/>
          <w:b/>
          <w:bCs/>
          <w:color w:val="000000"/>
          <w:kern w:val="0"/>
          <w:szCs w:val="21"/>
        </w:rPr>
        <w:t>一、试题主要类型</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1</w:t>
      </w:r>
      <w:r>
        <w:rPr>
          <w:rFonts w:hint="eastAsia" w:ascii="宋体" w:hAnsi="宋体" w:cs="宋体"/>
          <w:color w:val="000000"/>
          <w:kern w:val="0"/>
          <w:szCs w:val="21"/>
        </w:rPr>
        <w:t>．选择题。选择题由“题干”（试题提出问题部分）和“题肢”（供选择的答案）两部分组成，为防止学生猜测可对答案和迷惑答案随机排列。选择题评价客观、省时、省力。选择题可分单项选择（备选答案只有一个是正确的）和多项选择题（备选答案二个或二个以上是正确的）。</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2</w:t>
      </w:r>
      <w:r>
        <w:rPr>
          <w:rFonts w:hint="eastAsia" w:ascii="宋体" w:hAnsi="宋体" w:cs="宋体"/>
          <w:color w:val="000000"/>
          <w:kern w:val="0"/>
          <w:szCs w:val="21"/>
        </w:rPr>
        <w:t>．判断题。判断题一般提出一个论点，要求回答正确与否。</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3</w:t>
      </w:r>
      <w:r>
        <w:rPr>
          <w:rFonts w:hint="eastAsia" w:ascii="宋体" w:hAnsi="宋体" w:cs="宋体"/>
          <w:color w:val="000000"/>
          <w:kern w:val="0"/>
          <w:szCs w:val="21"/>
        </w:rPr>
        <w:t>．填空题。填空题是提供一个不完整的陈述，要求学生把缺少的部分填上，使之成为完整的科学论述。命题时应注意：所空字句应是重要字句，和上下文有密切科学的联系；答案应是唯一的；一句话内空白不宜太多；空白最好设在句子中间或末端，不要放在前面。</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4</w:t>
      </w:r>
      <w:r>
        <w:rPr>
          <w:rFonts w:hint="eastAsia" w:ascii="宋体" w:hAnsi="宋体" w:cs="宋体"/>
          <w:color w:val="000000"/>
          <w:kern w:val="0"/>
          <w:szCs w:val="21"/>
        </w:rPr>
        <w:t>．简答题。此类题型直接提出问题，学生能用简单准确地几句话来回答问题，是填空题的变形，二者可互换。</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5</w:t>
      </w:r>
      <w:r>
        <w:rPr>
          <w:rFonts w:hint="eastAsia" w:ascii="宋体" w:hAnsi="宋体" w:cs="宋体"/>
          <w:color w:val="000000"/>
          <w:kern w:val="0"/>
          <w:szCs w:val="21"/>
        </w:rPr>
        <w:t>．图解题。此类题型要求由学生绘图注明位置、名称，也可在图上填明各部分名称等。</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6</w:t>
      </w:r>
      <w:r>
        <w:rPr>
          <w:rFonts w:hint="eastAsia" w:ascii="宋体" w:hAnsi="宋体" w:cs="宋体"/>
          <w:color w:val="000000"/>
          <w:kern w:val="0"/>
          <w:szCs w:val="21"/>
        </w:rPr>
        <w:t>．计算式推导题。此类题型主要是科学计算或证明题，可考查学生逻辑推理及解决问题的能力，此类题最好应结合工程实际培养学生工程应用能力。</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7</w:t>
      </w:r>
      <w:r>
        <w:rPr>
          <w:rFonts w:hint="eastAsia" w:ascii="宋体" w:hAnsi="宋体" w:cs="宋体"/>
          <w:color w:val="000000"/>
          <w:kern w:val="0"/>
          <w:szCs w:val="21"/>
        </w:rPr>
        <w:t>．改错题。此类题相当于是非题与填空题的综合，题中潜藏着迷惑的错误部分，让学生辨认并给于纠正。</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8</w:t>
      </w:r>
      <w:r>
        <w:rPr>
          <w:rFonts w:hint="eastAsia" w:ascii="宋体" w:hAnsi="宋体" w:cs="宋体"/>
          <w:color w:val="000000"/>
          <w:kern w:val="0"/>
          <w:szCs w:val="21"/>
        </w:rPr>
        <w:t>．作文题。此类题考查学生文字表达能力及文字组织能力，适用于语文课、外语课。</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9</w:t>
      </w:r>
      <w:r>
        <w:rPr>
          <w:rFonts w:hint="eastAsia" w:ascii="宋体" w:hAnsi="宋体" w:cs="宋体"/>
          <w:color w:val="000000"/>
          <w:kern w:val="0"/>
          <w:szCs w:val="21"/>
        </w:rPr>
        <w:t>．论述题。论述题是以叙述、说明、评述、论证、分析、反驳等方式答题。</w:t>
      </w:r>
      <w:r>
        <w:rPr>
          <w:rFonts w:ascii="宋体" w:hAnsi="宋体" w:cs="宋体"/>
          <w:color w:val="000000"/>
          <w:kern w:val="0"/>
          <w:szCs w:val="21"/>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10</w:t>
      </w:r>
      <w:r>
        <w:rPr>
          <w:rFonts w:ascii="宋体" w:hAnsi="宋体" w:cs="宋体"/>
          <w:color w:val="000000"/>
          <w:kern w:val="0"/>
          <w:szCs w:val="21"/>
        </w:rPr>
        <w:t>.</w:t>
      </w:r>
      <w:r>
        <w:rPr>
          <w:rFonts w:hint="eastAsia" w:ascii="宋体" w:hAnsi="宋体" w:cs="宋体"/>
          <w:color w:val="000000"/>
          <w:kern w:val="0"/>
          <w:szCs w:val="21"/>
        </w:rPr>
        <w:t>材料分析</w:t>
      </w:r>
      <w:r>
        <w:rPr>
          <w:rFonts w:ascii="宋体" w:hAnsi="宋体" w:cs="宋体"/>
          <w:color w:val="000000"/>
          <w:kern w:val="0"/>
          <w:szCs w:val="21"/>
        </w:rPr>
        <w:t>/</w:t>
      </w:r>
      <w:r>
        <w:rPr>
          <w:rFonts w:hint="eastAsia" w:ascii="宋体" w:hAnsi="宋体" w:cs="宋体"/>
          <w:color w:val="000000"/>
          <w:kern w:val="0"/>
          <w:szCs w:val="21"/>
        </w:rPr>
        <w:t>案例分析题。案例分析题要提供完整的案例，综合考查学生知识运用能力和实践分析能力。</w:t>
      </w:r>
    </w:p>
    <w:p>
      <w:pPr>
        <w:spacing w:line="360" w:lineRule="exact"/>
        <w:ind w:firstLine="420" w:firstLineChars="200"/>
        <w:jc w:val="left"/>
        <w:rPr>
          <w:rFonts w:ascii="宋体" w:cs="宋体"/>
          <w:color w:val="000000"/>
          <w:kern w:val="0"/>
          <w:szCs w:val="21"/>
        </w:rPr>
      </w:pPr>
      <w:r>
        <w:rPr>
          <w:rFonts w:hint="eastAsia" w:ascii="宋体" w:hAnsi="宋体" w:cs="宋体"/>
          <w:color w:val="000000"/>
          <w:kern w:val="0"/>
          <w:szCs w:val="21"/>
        </w:rPr>
        <w:t>除上述题型供命题时参考外，命题老师可以根据命题原则，结合课程特点，创造新的题型。</w:t>
      </w:r>
    </w:p>
    <w:p>
      <w:pPr>
        <w:spacing w:line="360" w:lineRule="exact"/>
        <w:ind w:firstLine="413" w:firstLineChars="196"/>
        <w:jc w:val="left"/>
        <w:rPr>
          <w:rFonts w:ascii="宋体" w:cs="宋体"/>
          <w:b/>
          <w:bCs/>
          <w:color w:val="000000"/>
          <w:kern w:val="0"/>
          <w:szCs w:val="21"/>
        </w:rPr>
      </w:pPr>
      <w:r>
        <w:rPr>
          <w:rFonts w:hint="eastAsia" w:ascii="宋体" w:hAnsi="宋体" w:cs="宋体"/>
          <w:b/>
          <w:bCs/>
          <w:color w:val="000000"/>
          <w:kern w:val="0"/>
          <w:szCs w:val="21"/>
        </w:rPr>
        <w:t>二、版面和格式要求</w:t>
      </w:r>
    </w:p>
    <w:p>
      <w:pPr>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参考《湖南财政经济学院试卷模板》和《湖南财政经济学院答题卷模板》，具体要求如下：</w:t>
      </w:r>
    </w:p>
    <w:p>
      <w:pPr>
        <w:spacing w:line="360" w:lineRule="exact"/>
        <w:ind w:firstLine="420" w:firstLineChars="200"/>
        <w:jc w:val="left"/>
        <w:rPr>
          <w:rFonts w:ascii="宋体" w:cs="宋体"/>
          <w:color w:val="000000"/>
          <w:kern w:val="0"/>
          <w:szCs w:val="21"/>
        </w:rPr>
      </w:pPr>
      <w:r>
        <w:rPr>
          <w:rFonts w:ascii="宋体" w:cs="宋体"/>
          <w:color w:val="000000"/>
          <w:kern w:val="0"/>
          <w:szCs w:val="21"/>
        </w:rPr>
        <w:t> </w:t>
      </w:r>
      <w:r>
        <w:rPr>
          <w:rFonts w:ascii="Times New Roman" w:hAnsi="Times New Roman"/>
          <w:color w:val="000000"/>
          <w:kern w:val="0"/>
          <w:szCs w:val="21"/>
        </w:rPr>
        <w:t>1</w:t>
      </w:r>
      <w:r>
        <w:rPr>
          <w:rFonts w:hint="eastAsia" w:ascii="宋体" w:hAnsi="宋体" w:cs="宋体"/>
          <w:color w:val="000000"/>
          <w:kern w:val="0"/>
          <w:szCs w:val="21"/>
        </w:rPr>
        <w:t>．尽可能压缩版面，考试时另附答题纸。</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2</w:t>
      </w:r>
      <w:r>
        <w:rPr>
          <w:rFonts w:hint="eastAsia" w:ascii="宋体" w:hAnsi="宋体" w:cs="宋体"/>
          <w:color w:val="000000"/>
          <w:kern w:val="0"/>
          <w:szCs w:val="21"/>
        </w:rPr>
        <w:t>．纸型：</w:t>
      </w:r>
      <w:r>
        <w:rPr>
          <w:rFonts w:ascii="宋体" w:hAnsi="宋体" w:cs="宋体"/>
          <w:color w:val="000000"/>
          <w:kern w:val="0"/>
          <w:szCs w:val="21"/>
        </w:rPr>
        <w:t>A</w:t>
      </w:r>
      <w:r>
        <w:rPr>
          <w:rFonts w:ascii="Times New Roman" w:hAnsi="Times New Roman"/>
          <w:color w:val="000000"/>
          <w:kern w:val="0"/>
          <w:szCs w:val="21"/>
        </w:rPr>
        <w:t>4</w:t>
      </w:r>
      <w:r>
        <w:rPr>
          <w:rFonts w:hint="eastAsia" w:ascii="宋体" w:hAnsi="宋体" w:cs="宋体"/>
          <w:color w:val="000000"/>
          <w:kern w:val="0"/>
          <w:szCs w:val="21"/>
        </w:rPr>
        <w:t>，横向。</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3</w:t>
      </w:r>
      <w:r>
        <w:rPr>
          <w:rFonts w:hint="eastAsia" w:ascii="宋体" w:hAnsi="宋体" w:cs="宋体"/>
          <w:color w:val="000000"/>
          <w:kern w:val="0"/>
          <w:szCs w:val="21"/>
        </w:rPr>
        <w:t>．页边距：上下为</w:t>
      </w:r>
      <w:r>
        <w:rPr>
          <w:rFonts w:ascii="Times New Roman" w:hAnsi="Times New Roman"/>
          <w:color w:val="000000"/>
          <w:kern w:val="0"/>
          <w:szCs w:val="21"/>
        </w:rPr>
        <w:t>2</w:t>
      </w:r>
      <w:r>
        <w:rPr>
          <w:rFonts w:ascii="宋体" w:hAnsi="宋体" w:cs="宋体"/>
          <w:color w:val="000000"/>
          <w:kern w:val="0"/>
          <w:szCs w:val="21"/>
        </w:rPr>
        <w:t>cm</w:t>
      </w:r>
      <w:r>
        <w:rPr>
          <w:rFonts w:hint="eastAsia" w:ascii="宋体" w:hAnsi="宋体" w:cs="宋体"/>
          <w:color w:val="000000"/>
          <w:kern w:val="0"/>
          <w:szCs w:val="21"/>
        </w:rPr>
        <w:t>左右，左为</w:t>
      </w:r>
      <w:r>
        <w:rPr>
          <w:rFonts w:ascii="Times New Roman" w:hAnsi="Times New Roman"/>
          <w:color w:val="000000"/>
          <w:kern w:val="0"/>
          <w:szCs w:val="21"/>
        </w:rPr>
        <w:t>4</w:t>
      </w:r>
      <w:r>
        <w:rPr>
          <w:rFonts w:ascii="宋体" w:hAnsi="宋体" w:cs="宋体"/>
          <w:color w:val="000000"/>
          <w:kern w:val="0"/>
          <w:szCs w:val="21"/>
        </w:rPr>
        <w:t>cm</w:t>
      </w:r>
      <w:r>
        <w:rPr>
          <w:rFonts w:hint="eastAsia" w:ascii="宋体" w:hAnsi="宋体" w:cs="宋体"/>
          <w:color w:val="000000"/>
          <w:kern w:val="0"/>
          <w:szCs w:val="21"/>
        </w:rPr>
        <w:t>右为</w:t>
      </w:r>
      <w:r>
        <w:rPr>
          <w:rFonts w:ascii="Times New Roman" w:hAnsi="Times New Roman"/>
          <w:color w:val="000000"/>
          <w:kern w:val="0"/>
          <w:szCs w:val="21"/>
        </w:rPr>
        <w:t>2</w:t>
      </w:r>
      <w:r>
        <w:rPr>
          <w:rFonts w:ascii="宋体" w:hAnsi="宋体" w:cs="宋体"/>
          <w:color w:val="000000"/>
          <w:kern w:val="0"/>
          <w:szCs w:val="21"/>
        </w:rPr>
        <w:t>cm</w:t>
      </w:r>
      <w:r>
        <w:rPr>
          <w:rFonts w:hint="eastAsia" w:ascii="宋体" w:hAnsi="宋体" w:cs="宋体"/>
          <w:color w:val="000000"/>
          <w:kern w:val="0"/>
          <w:szCs w:val="21"/>
        </w:rPr>
        <w:t>。</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4</w:t>
      </w:r>
      <w:r>
        <w:rPr>
          <w:rFonts w:hint="eastAsia" w:ascii="宋体" w:hAnsi="宋体" w:cs="宋体"/>
          <w:color w:val="000000"/>
          <w:kern w:val="0"/>
          <w:szCs w:val="21"/>
        </w:rPr>
        <w:t>．卷面分两栏，栏间距</w:t>
      </w:r>
      <w:r>
        <w:rPr>
          <w:rFonts w:ascii="Times New Roman" w:hAnsi="Times New Roman"/>
          <w:color w:val="000000"/>
          <w:kern w:val="0"/>
          <w:szCs w:val="21"/>
        </w:rPr>
        <w:t>6</w:t>
      </w:r>
      <w:r>
        <w:rPr>
          <w:rFonts w:hint="eastAsia" w:ascii="宋体" w:hAnsi="宋体" w:cs="宋体"/>
          <w:color w:val="000000"/>
          <w:kern w:val="0"/>
          <w:szCs w:val="21"/>
        </w:rPr>
        <w:t>个字符，行距</w:t>
      </w:r>
      <w:r>
        <w:rPr>
          <w:rFonts w:ascii="Times New Roman" w:hAnsi="Times New Roman"/>
          <w:color w:val="000000"/>
          <w:kern w:val="0"/>
          <w:szCs w:val="21"/>
        </w:rPr>
        <w:t>18</w:t>
      </w:r>
      <w:r>
        <w:rPr>
          <w:rFonts w:hint="eastAsia" w:ascii="宋体" w:hAnsi="宋体" w:cs="宋体"/>
          <w:color w:val="000000"/>
          <w:kern w:val="0"/>
          <w:szCs w:val="21"/>
        </w:rPr>
        <w:t>磅。</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5</w:t>
      </w:r>
      <w:r>
        <w:rPr>
          <w:rFonts w:hint="eastAsia" w:ascii="宋体" w:hAnsi="宋体" w:cs="宋体"/>
          <w:color w:val="000000"/>
          <w:kern w:val="0"/>
          <w:szCs w:val="21"/>
        </w:rPr>
        <w:t>．标题题号均按流水号排序，字体大小为：一、二、三……（小</w:t>
      </w:r>
      <w:r>
        <w:rPr>
          <w:rFonts w:ascii="Times New Roman" w:hAnsi="Times New Roman"/>
          <w:color w:val="000000"/>
          <w:kern w:val="0"/>
          <w:szCs w:val="21"/>
        </w:rPr>
        <w:t>4</w:t>
      </w:r>
      <w:r>
        <w:rPr>
          <w:rFonts w:hint="eastAsia" w:ascii="宋体" w:hAnsi="宋体" w:cs="宋体"/>
          <w:color w:val="000000"/>
          <w:kern w:val="0"/>
          <w:szCs w:val="21"/>
        </w:rPr>
        <w:t>号黑体）；</w:t>
      </w:r>
      <w:r>
        <w:rPr>
          <w:rFonts w:ascii="Times New Roman" w:hAnsi="Times New Roman"/>
          <w:color w:val="000000"/>
          <w:kern w:val="0"/>
          <w:szCs w:val="21"/>
        </w:rPr>
        <w:t>1</w:t>
      </w:r>
      <w:r>
        <w:rPr>
          <w:rFonts w:ascii="宋体" w:hAnsi="宋体" w:cs="宋体"/>
          <w:color w:val="000000"/>
          <w:kern w:val="0"/>
          <w:szCs w:val="21"/>
        </w:rPr>
        <w:t>.</w:t>
      </w:r>
      <w:r>
        <w:rPr>
          <w:rFonts w:ascii="Times New Roman" w:hAnsi="Times New Roman"/>
          <w:color w:val="000000"/>
          <w:kern w:val="0"/>
          <w:szCs w:val="21"/>
        </w:rPr>
        <w:t>2</w:t>
      </w:r>
      <w:r>
        <w:rPr>
          <w:rFonts w:ascii="宋体" w:hAnsi="宋体" w:cs="宋体"/>
          <w:color w:val="000000"/>
          <w:kern w:val="0"/>
          <w:szCs w:val="21"/>
        </w:rPr>
        <w:t>.</w:t>
      </w:r>
      <w:r>
        <w:rPr>
          <w:rFonts w:ascii="Times New Roman" w:hAnsi="Times New Roman"/>
          <w:color w:val="000000"/>
          <w:kern w:val="0"/>
          <w:szCs w:val="21"/>
        </w:rPr>
        <w:t>3</w:t>
      </w:r>
      <w:r>
        <w:rPr>
          <w:rFonts w:ascii="宋体" w:hAnsi="宋体" w:cs="宋体"/>
          <w:color w:val="000000"/>
          <w:kern w:val="0"/>
          <w:szCs w:val="21"/>
        </w:rPr>
        <w:t>.</w:t>
      </w:r>
      <w:r>
        <w:rPr>
          <w:rFonts w:ascii="Times New Roman" w:hAnsi="Times New Roman"/>
          <w:color w:val="000000"/>
          <w:kern w:val="0"/>
          <w:szCs w:val="21"/>
        </w:rPr>
        <w:t>4</w:t>
      </w:r>
      <w:r>
        <w:rPr>
          <w:rFonts w:ascii="宋体" w:hAnsi="宋体" w:cs="宋体"/>
          <w:color w:val="000000"/>
          <w:kern w:val="0"/>
          <w:szCs w:val="21"/>
        </w:rPr>
        <w:t>.</w:t>
      </w:r>
      <w:r>
        <w:rPr>
          <w:rFonts w:ascii="Times New Roman" w:hAnsi="Times New Roman"/>
          <w:color w:val="000000"/>
          <w:kern w:val="0"/>
          <w:szCs w:val="21"/>
        </w:rPr>
        <w:t>5</w:t>
      </w:r>
      <w:r>
        <w:rPr>
          <w:rFonts w:ascii="宋体" w:hAnsi="宋体" w:cs="宋体"/>
          <w:color w:val="000000"/>
          <w:kern w:val="0"/>
          <w:szCs w:val="21"/>
        </w:rPr>
        <w:t>.</w:t>
      </w:r>
      <w:r>
        <w:rPr>
          <w:rFonts w:ascii="Times New Roman" w:hAnsi="Times New Roman"/>
          <w:color w:val="000000"/>
          <w:kern w:val="0"/>
          <w:szCs w:val="21"/>
        </w:rPr>
        <w:t>6</w:t>
      </w:r>
      <w:r>
        <w:rPr>
          <w:rFonts w:hint="eastAsia" w:ascii="宋体" w:hAnsi="宋体" w:cs="宋体"/>
          <w:color w:val="000000"/>
          <w:kern w:val="0"/>
          <w:szCs w:val="21"/>
        </w:rPr>
        <w:t>……（小四号宋体）</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6</w:t>
      </w:r>
      <w:r>
        <w:rPr>
          <w:rFonts w:hint="eastAsia" w:ascii="宋体" w:hAnsi="宋体" w:cs="宋体"/>
          <w:color w:val="000000"/>
          <w:kern w:val="0"/>
          <w:szCs w:val="21"/>
        </w:rPr>
        <w:t>．选择题备选答案号一律用：</w:t>
      </w:r>
      <w:r>
        <w:rPr>
          <w:rFonts w:ascii="宋体" w:hAnsi="宋体" w:cs="宋体"/>
          <w:color w:val="000000"/>
          <w:kern w:val="0"/>
          <w:szCs w:val="21"/>
        </w:rPr>
        <w:t xml:space="preserve"> A B C D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7</w:t>
      </w:r>
      <w:r>
        <w:rPr>
          <w:rFonts w:hint="eastAsia" w:ascii="宋体" w:hAnsi="宋体" w:cs="宋体"/>
          <w:color w:val="000000"/>
          <w:kern w:val="0"/>
          <w:szCs w:val="21"/>
        </w:rPr>
        <w:t>．判断题答案一律用：</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或</w:t>
      </w:r>
      <w:r>
        <w:rPr>
          <w:rFonts w:ascii="宋体" w:hAnsi="宋体" w:cs="宋体"/>
          <w:color w:val="000000"/>
          <w:kern w:val="0"/>
          <w:szCs w:val="21"/>
        </w:rPr>
        <w:t xml:space="preserve"> </w:t>
      </w:r>
      <w:r>
        <w:rPr>
          <w:rFonts w:hint="eastAsia" w:ascii="宋体" w:hAnsi="宋体" w:cs="宋体"/>
          <w:color w:val="000000"/>
          <w:kern w:val="0"/>
          <w:szCs w:val="21"/>
        </w:rPr>
        <w:t>×</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8</w:t>
      </w:r>
      <w:r>
        <w:rPr>
          <w:rFonts w:hint="eastAsia" w:ascii="宋体" w:hAnsi="宋体" w:cs="宋体"/>
          <w:color w:val="000000"/>
          <w:kern w:val="0"/>
          <w:szCs w:val="21"/>
        </w:rPr>
        <w:t>．填空题答案位置一律用：</w:t>
      </w:r>
      <w:r>
        <w:rPr>
          <w:rFonts w:ascii="宋体" w:cs="宋体"/>
          <w:color w:val="000000"/>
          <w:kern w:val="0"/>
          <w:szCs w:val="21"/>
          <w:u w:val="single"/>
        </w:rPr>
        <w:t>          </w:t>
      </w:r>
      <w:r>
        <w:rPr>
          <w:rFonts w:ascii="宋体" w:hAnsi="宋体" w:cs="宋体"/>
          <w:color w:val="000000"/>
          <w:kern w:val="0"/>
          <w:szCs w:val="21"/>
          <w:u w:val="single"/>
        </w:rPr>
        <w:t xml:space="preserve"> </w:t>
      </w:r>
    </w:p>
    <w:p>
      <w:pPr>
        <w:spacing w:line="360" w:lineRule="exact"/>
        <w:ind w:firstLine="420" w:firstLineChars="200"/>
        <w:jc w:val="left"/>
        <w:rPr>
          <w:rFonts w:ascii="宋体" w:cs="宋体"/>
          <w:color w:val="000000"/>
          <w:kern w:val="0"/>
          <w:szCs w:val="21"/>
        </w:rPr>
      </w:pPr>
      <w:r>
        <w:rPr>
          <w:rFonts w:ascii="Times New Roman" w:hAnsi="Times New Roman"/>
          <w:color w:val="000000"/>
          <w:kern w:val="0"/>
          <w:szCs w:val="21"/>
        </w:rPr>
        <w:t>9</w:t>
      </w:r>
      <w:r>
        <w:rPr>
          <w:rFonts w:hint="eastAsia" w:ascii="宋体" w:hAnsi="宋体" w:cs="宋体"/>
          <w:color w:val="000000"/>
          <w:kern w:val="0"/>
          <w:szCs w:val="21"/>
        </w:rPr>
        <w:t>．改错题要在题后写出（</w:t>
      </w:r>
      <w:r>
        <w:rPr>
          <w:rFonts w:ascii="宋体" w:cs="宋体"/>
          <w:color w:val="000000"/>
          <w:kern w:val="0"/>
          <w:szCs w:val="21"/>
        </w:rPr>
        <w:t> </w:t>
      </w:r>
      <w:r>
        <w:rPr>
          <w:rFonts w:ascii="宋体" w:hAnsi="宋体" w:cs="宋体"/>
          <w:color w:val="000000"/>
          <w:kern w:val="0"/>
          <w:szCs w:val="21"/>
        </w:rPr>
        <w:t xml:space="preserve"> </w:t>
      </w:r>
      <w:r>
        <w:rPr>
          <w:rFonts w:hint="eastAsia" w:ascii="宋体" w:hAnsi="宋体" w:cs="宋体"/>
          <w:color w:val="000000"/>
          <w:kern w:val="0"/>
          <w:szCs w:val="21"/>
        </w:rPr>
        <w:t>）以填写正确答案用。（其括号大小按答案文字量酌定）。</w:t>
      </w:r>
      <w:r>
        <w:rPr>
          <w:rFonts w:ascii="宋体" w:hAnsi="宋体" w:cs="宋体"/>
          <w:color w:val="000000"/>
          <w:kern w:val="0"/>
          <w:szCs w:val="21"/>
        </w:rPr>
        <w:t xml:space="preserve"> </w:t>
      </w:r>
    </w:p>
    <w:p>
      <w:pPr>
        <w:spacing w:line="360" w:lineRule="exact"/>
        <w:ind w:firstLine="420" w:firstLineChars="200"/>
        <w:jc w:val="left"/>
        <w:rPr>
          <w:rFonts w:ascii="宋体" w:hAnsi="宋体" w:cs="宋体"/>
          <w:color w:val="000000"/>
          <w:kern w:val="0"/>
          <w:szCs w:val="21"/>
        </w:rPr>
      </w:pPr>
      <w:r>
        <w:rPr>
          <w:rFonts w:ascii="Times New Roman" w:hAnsi="Times New Roman"/>
          <w:color w:val="000000"/>
          <w:kern w:val="0"/>
          <w:szCs w:val="21"/>
        </w:rPr>
        <w:t>10</w:t>
      </w:r>
      <w:r>
        <w:rPr>
          <w:rFonts w:hint="eastAsia" w:ascii="宋体" w:hAnsi="宋体" w:cs="宋体"/>
          <w:color w:val="000000"/>
          <w:kern w:val="0"/>
          <w:szCs w:val="21"/>
        </w:rPr>
        <w:t>．有些试题的特殊要求应在试题后的另一行在</w:t>
      </w:r>
      <w:r>
        <w:rPr>
          <w:rFonts w:ascii="宋体" w:hAnsi="宋体" w:cs="宋体"/>
          <w:color w:val="000000"/>
          <w:kern w:val="0"/>
          <w:szCs w:val="21"/>
        </w:rPr>
        <w:t xml:space="preserve"> [ ] </w:t>
      </w:r>
      <w:r>
        <w:rPr>
          <w:rFonts w:hint="eastAsia" w:ascii="宋体" w:hAnsi="宋体" w:cs="宋体"/>
          <w:color w:val="000000"/>
          <w:kern w:val="0"/>
          <w:szCs w:val="21"/>
        </w:rPr>
        <w:t>内加以说明。</w:t>
      </w:r>
    </w:p>
    <w:p>
      <w:pPr>
        <w:rPr>
          <w:b/>
          <w:kern w:val="0"/>
        </w:rPr>
      </w:pPr>
      <w:r>
        <w:rPr>
          <w:rFonts w:ascii="宋体"/>
          <w:kern w:val="0"/>
        </w:rPr>
        <w:br w:type="page"/>
      </w:r>
      <w:r>
        <w:rPr>
          <w:rFonts w:hint="eastAsia"/>
          <w:b/>
          <w:kern w:val="0"/>
        </w:rPr>
        <w:t>附件五：</w:t>
      </w:r>
    </w:p>
    <w:p>
      <w:pPr>
        <w:rPr>
          <w:rFonts w:ascii="宋体"/>
          <w:b/>
          <w:kern w:val="0"/>
        </w:rPr>
      </w:pPr>
    </w:p>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湖南财政</w:t>
      </w:r>
      <w:r>
        <w:rPr>
          <w:rFonts w:ascii="黑体" w:hAnsi="宋体" w:eastAsia="黑体" w:cs="宋体"/>
          <w:b/>
          <w:color w:val="000000"/>
          <w:kern w:val="0"/>
          <w:sz w:val="28"/>
          <w:szCs w:val="28"/>
        </w:rPr>
        <w:t>经济</w:t>
      </w:r>
      <w:r>
        <w:rPr>
          <w:rFonts w:hint="eastAsia" w:ascii="黑体" w:hAnsi="宋体" w:eastAsia="黑体" w:cs="宋体"/>
          <w:b/>
          <w:color w:val="000000"/>
          <w:kern w:val="0"/>
          <w:sz w:val="28"/>
          <w:szCs w:val="28"/>
        </w:rPr>
        <w:t>学院课程考核试卷评阅责任人签名表</w:t>
      </w:r>
    </w:p>
    <w:p>
      <w:pPr>
        <w:rPr>
          <w:szCs w:val="21"/>
        </w:rPr>
      </w:pPr>
    </w:p>
    <w:p>
      <w:pPr>
        <w:spacing w:line="480" w:lineRule="auto"/>
        <w:rPr>
          <w:sz w:val="24"/>
          <w:szCs w:val="28"/>
        </w:rPr>
      </w:pPr>
      <w:r>
        <w:rPr>
          <w:rFonts w:hint="eastAsia"/>
          <w:sz w:val="24"/>
          <w:szCs w:val="28"/>
        </w:rPr>
        <w:t xml:space="preserve">学院（部门）：                    学年学期：    ～  </w:t>
      </w:r>
      <w:r>
        <w:rPr>
          <w:sz w:val="24"/>
          <w:szCs w:val="28"/>
        </w:rPr>
        <w:t xml:space="preserve"> </w:t>
      </w:r>
      <w:r>
        <w:rPr>
          <w:rFonts w:hint="eastAsia"/>
          <w:sz w:val="24"/>
          <w:szCs w:val="28"/>
        </w:rPr>
        <w:t xml:space="preserve">  学年 第   学期</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15"/>
        <w:gridCol w:w="1103"/>
        <w:gridCol w:w="1241"/>
        <w:gridCol w:w="274"/>
        <w:gridCol w:w="854"/>
        <w:gridCol w:w="388"/>
        <w:gridCol w:w="320"/>
        <w:gridCol w:w="234"/>
        <w:gridCol w:w="621"/>
        <w:gridCol w:w="76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210" w:type="dxa"/>
            <w:vAlign w:val="center"/>
          </w:tcPr>
          <w:p>
            <w:pPr>
              <w:spacing w:line="480" w:lineRule="auto"/>
              <w:jc w:val="center"/>
              <w:rPr>
                <w:sz w:val="24"/>
              </w:rPr>
            </w:pPr>
            <w:r>
              <w:rPr>
                <w:rFonts w:hint="eastAsia"/>
                <w:sz w:val="24"/>
              </w:rPr>
              <w:t>任课教师</w:t>
            </w:r>
          </w:p>
        </w:tc>
        <w:tc>
          <w:tcPr>
            <w:tcW w:w="1518" w:type="dxa"/>
            <w:gridSpan w:val="2"/>
            <w:vAlign w:val="center"/>
          </w:tcPr>
          <w:p>
            <w:pPr>
              <w:spacing w:line="480" w:lineRule="auto"/>
              <w:jc w:val="center"/>
              <w:rPr>
                <w:sz w:val="24"/>
              </w:rPr>
            </w:pPr>
          </w:p>
        </w:tc>
        <w:tc>
          <w:tcPr>
            <w:tcW w:w="1515" w:type="dxa"/>
            <w:gridSpan w:val="2"/>
            <w:vAlign w:val="center"/>
          </w:tcPr>
          <w:p>
            <w:pPr>
              <w:spacing w:line="480" w:lineRule="auto"/>
              <w:jc w:val="center"/>
              <w:rPr>
                <w:sz w:val="24"/>
              </w:rPr>
            </w:pPr>
            <w:r>
              <w:rPr>
                <w:rFonts w:hint="eastAsia"/>
                <w:sz w:val="24"/>
              </w:rPr>
              <w:t>课程名称</w:t>
            </w:r>
          </w:p>
        </w:tc>
        <w:tc>
          <w:tcPr>
            <w:tcW w:w="4053" w:type="dxa"/>
            <w:gridSpan w:val="7"/>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10" w:type="dxa"/>
            <w:vAlign w:val="center"/>
          </w:tcPr>
          <w:p>
            <w:pPr>
              <w:spacing w:line="480" w:lineRule="auto"/>
              <w:jc w:val="center"/>
              <w:rPr>
                <w:sz w:val="24"/>
              </w:rPr>
            </w:pPr>
            <w:r>
              <w:rPr>
                <w:rFonts w:hint="eastAsia"/>
                <w:sz w:val="24"/>
              </w:rPr>
              <w:t>考核班级</w:t>
            </w:r>
          </w:p>
        </w:tc>
        <w:tc>
          <w:tcPr>
            <w:tcW w:w="3887" w:type="dxa"/>
            <w:gridSpan w:val="5"/>
            <w:vAlign w:val="center"/>
          </w:tcPr>
          <w:p>
            <w:pPr>
              <w:spacing w:line="480" w:lineRule="auto"/>
              <w:jc w:val="center"/>
              <w:rPr>
                <w:sz w:val="24"/>
              </w:rPr>
            </w:pPr>
          </w:p>
        </w:tc>
        <w:tc>
          <w:tcPr>
            <w:tcW w:w="708" w:type="dxa"/>
            <w:gridSpan w:val="2"/>
            <w:vAlign w:val="center"/>
          </w:tcPr>
          <w:p>
            <w:pPr>
              <w:spacing w:line="480" w:lineRule="auto"/>
              <w:jc w:val="center"/>
              <w:rPr>
                <w:sz w:val="24"/>
              </w:rPr>
            </w:pPr>
            <w:r>
              <w:rPr>
                <w:rFonts w:hint="eastAsia"/>
                <w:sz w:val="24"/>
              </w:rPr>
              <w:t>学时</w:t>
            </w:r>
          </w:p>
        </w:tc>
        <w:tc>
          <w:tcPr>
            <w:tcW w:w="855" w:type="dxa"/>
            <w:gridSpan w:val="2"/>
            <w:vAlign w:val="center"/>
          </w:tcPr>
          <w:p>
            <w:pPr>
              <w:spacing w:line="480" w:lineRule="auto"/>
              <w:jc w:val="center"/>
              <w:rPr>
                <w:sz w:val="24"/>
              </w:rPr>
            </w:pPr>
          </w:p>
        </w:tc>
        <w:tc>
          <w:tcPr>
            <w:tcW w:w="760" w:type="dxa"/>
            <w:vAlign w:val="center"/>
          </w:tcPr>
          <w:p>
            <w:pPr>
              <w:spacing w:line="480" w:lineRule="auto"/>
              <w:jc w:val="center"/>
              <w:rPr>
                <w:sz w:val="24"/>
              </w:rPr>
            </w:pPr>
            <w:r>
              <w:rPr>
                <w:rFonts w:hint="eastAsia"/>
                <w:sz w:val="24"/>
              </w:rPr>
              <w:t>学分</w:t>
            </w:r>
          </w:p>
        </w:tc>
        <w:tc>
          <w:tcPr>
            <w:tcW w:w="876" w:type="dxa"/>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考试种类</w:t>
            </w:r>
          </w:p>
        </w:tc>
        <w:tc>
          <w:tcPr>
            <w:tcW w:w="5450" w:type="dxa"/>
            <w:gridSpan w:val="9"/>
            <w:vAlign w:val="center"/>
          </w:tcPr>
          <w:p>
            <w:pPr>
              <w:spacing w:line="480" w:lineRule="auto"/>
              <w:ind w:firstLine="120" w:firstLineChars="50"/>
              <w:jc w:val="left"/>
              <w:rPr>
                <w:sz w:val="24"/>
              </w:rPr>
            </w:pPr>
            <w:r>
              <w:rPr>
                <w:rFonts w:hint="eastAsia" w:asciiTheme="minorEastAsia" w:hAnsiTheme="minorEastAsia"/>
                <w:sz w:val="24"/>
              </w:rPr>
              <w:t>□</w:t>
            </w:r>
            <w:r>
              <w:rPr>
                <w:rFonts w:hint="eastAsia"/>
                <w:sz w:val="24"/>
              </w:rPr>
              <w:t xml:space="preserve">期末考试  </w:t>
            </w:r>
            <w:r>
              <w:rPr>
                <w:rFonts w:hint="eastAsia" w:asciiTheme="minorEastAsia" w:hAnsiTheme="minorEastAsia"/>
                <w:sz w:val="24"/>
              </w:rPr>
              <w:t>□</w:t>
            </w:r>
            <w:r>
              <w:rPr>
                <w:rFonts w:hint="eastAsia"/>
                <w:sz w:val="24"/>
              </w:rPr>
              <w:t xml:space="preserve">补考  </w:t>
            </w:r>
            <w:r>
              <w:rPr>
                <w:rFonts w:hint="eastAsia" w:asciiTheme="minorEastAsia" w:hAnsiTheme="minorEastAsia"/>
                <w:sz w:val="24"/>
              </w:rPr>
              <w:t>□</w:t>
            </w:r>
            <w:r>
              <w:rPr>
                <w:rFonts w:hint="eastAsia"/>
                <w:sz w:val="24"/>
              </w:rPr>
              <w:t xml:space="preserve">重修  </w:t>
            </w:r>
            <w:r>
              <w:rPr>
                <w:rFonts w:hint="eastAsia" w:asciiTheme="minorEastAsia" w:hAnsiTheme="minorEastAsia"/>
                <w:sz w:val="24"/>
              </w:rPr>
              <w:t>□</w:t>
            </w:r>
            <w:r>
              <w:rPr>
                <w:rFonts w:hint="eastAsia"/>
                <w:sz w:val="24"/>
              </w:rPr>
              <w:t>其他</w:t>
            </w:r>
          </w:p>
        </w:tc>
        <w:tc>
          <w:tcPr>
            <w:tcW w:w="760" w:type="dxa"/>
            <w:vAlign w:val="center"/>
          </w:tcPr>
          <w:p>
            <w:pPr>
              <w:spacing w:line="480" w:lineRule="auto"/>
              <w:jc w:val="center"/>
              <w:rPr>
                <w:sz w:val="24"/>
              </w:rPr>
            </w:pPr>
            <w:r>
              <w:rPr>
                <w:rFonts w:hint="eastAsia"/>
                <w:sz w:val="24"/>
              </w:rPr>
              <w:t>份数</w:t>
            </w:r>
          </w:p>
        </w:tc>
        <w:tc>
          <w:tcPr>
            <w:tcW w:w="876" w:type="dxa"/>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考试时间</w:t>
            </w:r>
          </w:p>
        </w:tc>
        <w:tc>
          <w:tcPr>
            <w:tcW w:w="3033" w:type="dxa"/>
            <w:gridSpan w:val="4"/>
            <w:vAlign w:val="center"/>
          </w:tcPr>
          <w:p>
            <w:pPr>
              <w:spacing w:line="480" w:lineRule="auto"/>
              <w:ind w:firstLine="480" w:firstLineChars="200"/>
              <w:jc w:val="right"/>
              <w:rPr>
                <w:sz w:val="24"/>
              </w:rPr>
            </w:pPr>
            <w:r>
              <w:rPr>
                <w:rFonts w:hint="eastAsia"/>
                <w:sz w:val="24"/>
              </w:rPr>
              <w:t>年   月   日</w:t>
            </w:r>
          </w:p>
        </w:tc>
        <w:tc>
          <w:tcPr>
            <w:tcW w:w="1242" w:type="dxa"/>
            <w:gridSpan w:val="2"/>
            <w:vAlign w:val="center"/>
          </w:tcPr>
          <w:p>
            <w:pPr>
              <w:spacing w:line="480" w:lineRule="auto"/>
              <w:jc w:val="center"/>
              <w:rPr>
                <w:sz w:val="24"/>
              </w:rPr>
            </w:pPr>
            <w:r>
              <w:rPr>
                <w:rFonts w:hint="eastAsia"/>
                <w:sz w:val="24"/>
              </w:rPr>
              <w:t>阅卷时间</w:t>
            </w:r>
          </w:p>
        </w:tc>
        <w:tc>
          <w:tcPr>
            <w:tcW w:w="2811" w:type="dxa"/>
            <w:gridSpan w:val="5"/>
            <w:vAlign w:val="center"/>
          </w:tcPr>
          <w:p>
            <w:pPr>
              <w:spacing w:line="480" w:lineRule="auto"/>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2"/>
            <w:vAlign w:val="center"/>
          </w:tcPr>
          <w:p>
            <w:pPr>
              <w:spacing w:line="480" w:lineRule="auto"/>
              <w:jc w:val="center"/>
              <w:rPr>
                <w:b/>
                <w:sz w:val="24"/>
              </w:rPr>
            </w:pPr>
            <w:r>
              <w:rPr>
                <w:rFonts w:hint="eastAsia"/>
                <w:b/>
                <w:sz w:val="24"/>
              </w:rPr>
              <w:t>阅卷教师签名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p>
        </w:tc>
        <w:tc>
          <w:tcPr>
            <w:tcW w:w="2759" w:type="dxa"/>
            <w:gridSpan w:val="3"/>
            <w:vAlign w:val="center"/>
          </w:tcPr>
          <w:p>
            <w:pPr>
              <w:spacing w:line="480" w:lineRule="auto"/>
              <w:jc w:val="center"/>
              <w:rPr>
                <w:sz w:val="24"/>
              </w:rPr>
            </w:pPr>
            <w:r>
              <w:rPr>
                <w:rFonts w:hint="eastAsia"/>
                <w:sz w:val="24"/>
              </w:rPr>
              <w:t>阅卷人签名</w:t>
            </w:r>
          </w:p>
        </w:tc>
        <w:tc>
          <w:tcPr>
            <w:tcW w:w="4327" w:type="dxa"/>
            <w:gridSpan w:val="8"/>
            <w:vAlign w:val="center"/>
          </w:tcPr>
          <w:p>
            <w:pPr>
              <w:spacing w:line="480" w:lineRule="auto"/>
              <w:jc w:val="center"/>
              <w:rPr>
                <w:sz w:val="24"/>
              </w:rPr>
            </w:pPr>
            <w:r>
              <w:rPr>
                <w:rFonts w:hint="eastAsia"/>
                <w:sz w:val="24"/>
              </w:rPr>
              <w:t>复核人签名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第一题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第二题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第三题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第四题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第五题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第六题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第七题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第八题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Align w:val="center"/>
          </w:tcPr>
          <w:p>
            <w:pPr>
              <w:spacing w:line="480" w:lineRule="auto"/>
              <w:jc w:val="center"/>
              <w:rPr>
                <w:sz w:val="24"/>
              </w:rPr>
            </w:pPr>
            <w:r>
              <w:rPr>
                <w:rFonts w:hint="eastAsia"/>
                <w:sz w:val="24"/>
              </w:rPr>
              <w:t>第</w:t>
            </w:r>
            <w:r>
              <w:rPr>
                <w:sz w:val="24"/>
              </w:rPr>
              <w:t>九题</w:t>
            </w:r>
          </w:p>
        </w:tc>
        <w:tc>
          <w:tcPr>
            <w:tcW w:w="2759" w:type="dxa"/>
            <w:gridSpan w:val="3"/>
            <w:vAlign w:val="center"/>
          </w:tcPr>
          <w:p>
            <w:pPr>
              <w:spacing w:line="480" w:lineRule="auto"/>
              <w:jc w:val="center"/>
              <w:rPr>
                <w:sz w:val="24"/>
              </w:rPr>
            </w:pPr>
          </w:p>
        </w:tc>
        <w:tc>
          <w:tcPr>
            <w:tcW w:w="4327" w:type="dxa"/>
            <w:gridSpan w:val="8"/>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2"/>
            <w:vAlign w:val="center"/>
          </w:tcPr>
          <w:p>
            <w:pPr>
              <w:spacing w:line="480" w:lineRule="auto"/>
              <w:jc w:val="center"/>
              <w:rPr>
                <w:b/>
                <w:sz w:val="24"/>
              </w:rPr>
            </w:pPr>
            <w:r>
              <w:rPr>
                <w:rFonts w:hint="eastAsia"/>
                <w:b/>
                <w:sz w:val="24"/>
              </w:rPr>
              <w:t>合分责任人签名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625" w:type="dxa"/>
            <w:gridSpan w:val="2"/>
            <w:vAlign w:val="center"/>
          </w:tcPr>
          <w:p>
            <w:pPr>
              <w:spacing w:line="480" w:lineRule="auto"/>
              <w:jc w:val="center"/>
              <w:rPr>
                <w:sz w:val="24"/>
              </w:rPr>
            </w:pPr>
            <w:r>
              <w:rPr>
                <w:rFonts w:hint="eastAsia"/>
                <w:sz w:val="24"/>
              </w:rPr>
              <w:t>合分人签名</w:t>
            </w:r>
          </w:p>
        </w:tc>
        <w:tc>
          <w:tcPr>
            <w:tcW w:w="2344" w:type="dxa"/>
            <w:gridSpan w:val="2"/>
            <w:vAlign w:val="center"/>
          </w:tcPr>
          <w:p>
            <w:pPr>
              <w:spacing w:line="480" w:lineRule="auto"/>
              <w:jc w:val="center"/>
              <w:rPr>
                <w:sz w:val="24"/>
              </w:rPr>
            </w:pPr>
          </w:p>
        </w:tc>
        <w:tc>
          <w:tcPr>
            <w:tcW w:w="2070" w:type="dxa"/>
            <w:gridSpan w:val="5"/>
            <w:vAlign w:val="center"/>
          </w:tcPr>
          <w:p>
            <w:pPr>
              <w:spacing w:line="480" w:lineRule="auto"/>
              <w:jc w:val="center"/>
              <w:rPr>
                <w:sz w:val="24"/>
              </w:rPr>
            </w:pPr>
            <w:r>
              <w:rPr>
                <w:rFonts w:hint="eastAsia"/>
                <w:sz w:val="24"/>
              </w:rPr>
              <w:t>复核人签名</w:t>
            </w:r>
          </w:p>
        </w:tc>
        <w:tc>
          <w:tcPr>
            <w:tcW w:w="2257" w:type="dxa"/>
            <w:gridSpan w:val="3"/>
            <w:vAlign w:val="center"/>
          </w:tcPr>
          <w:p>
            <w:pPr>
              <w:spacing w:line="480" w:lineRule="auto"/>
              <w:jc w:val="center"/>
              <w:rPr>
                <w:sz w:val="24"/>
              </w:rPr>
            </w:pPr>
          </w:p>
        </w:tc>
      </w:tr>
    </w:tbl>
    <w:p>
      <w:pPr>
        <w:spacing w:line="480" w:lineRule="auto"/>
      </w:pPr>
      <w:r>
        <w:rPr>
          <w:rFonts w:hint="eastAsia"/>
        </w:rPr>
        <w:t>注：本表随试卷一起装订，所填信息为该本试卷评阅人的汇总信息。</w:t>
      </w:r>
    </w:p>
    <w:p>
      <w:pPr>
        <w:rPr>
          <w:rFonts w:ascii="宋体"/>
          <w:b/>
          <w:kern w:val="0"/>
        </w:rPr>
      </w:pPr>
    </w:p>
    <w:p>
      <w:pPr>
        <w:spacing w:line="288" w:lineRule="auto"/>
        <w:jc w:val="left"/>
        <w:rPr>
          <w:b/>
          <w:kern w:val="0"/>
        </w:rPr>
      </w:pPr>
      <w:r>
        <w:rPr>
          <w:rFonts w:hint="eastAsia"/>
          <w:b/>
          <w:kern w:val="0"/>
        </w:rPr>
        <w:t>附件六：</w:t>
      </w:r>
    </w:p>
    <w:p>
      <w:pPr>
        <w:spacing w:line="288" w:lineRule="auto"/>
        <w:jc w:val="left"/>
        <w:rPr>
          <w:rFonts w:ascii="黑体" w:hAnsi="宋体" w:eastAsia="黑体" w:cs="宋体"/>
          <w:b/>
          <w:color w:val="000000"/>
          <w:kern w:val="0"/>
          <w:sz w:val="28"/>
          <w:szCs w:val="28"/>
        </w:rPr>
      </w:pPr>
    </w:p>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学校统一模板的试卷装订封面（模板）</w:t>
      </w:r>
    </w:p>
    <w:p>
      <w:pPr>
        <w:spacing w:line="288" w:lineRule="auto"/>
        <w:jc w:val="center"/>
        <w:rPr>
          <w:rFonts w:ascii="黑体" w:eastAsia="黑体"/>
          <w:b/>
          <w:color w:val="000000"/>
          <w:sz w:val="28"/>
          <w:szCs w:val="28"/>
        </w:rPr>
      </w:pPr>
    </w:p>
    <w:p>
      <w:pPr>
        <w:spacing w:line="288" w:lineRule="auto"/>
        <w:jc w:val="center"/>
        <w:rPr>
          <w:rFonts w:ascii="方正行楷简体" w:eastAsia="方正行楷简体"/>
          <w:color w:val="000000"/>
          <w:sz w:val="44"/>
          <w:szCs w:val="44"/>
        </w:rPr>
      </w:pPr>
      <w:r>
        <mc:AlternateContent>
          <mc:Choice Requires="wps">
            <w:drawing>
              <wp:anchor distT="0" distB="0" distL="114300" distR="114300" simplePos="0" relativeHeight="251662336" behindDoc="0" locked="0" layoutInCell="1" allowOverlap="1">
                <wp:simplePos x="0" y="0"/>
                <wp:positionH relativeFrom="column">
                  <wp:posOffset>3080385</wp:posOffset>
                </wp:positionH>
                <wp:positionV relativeFrom="paragraph">
                  <wp:posOffset>111760</wp:posOffset>
                </wp:positionV>
                <wp:extent cx="2520315" cy="3599815"/>
                <wp:effectExtent l="8890" t="5080" r="13970"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20315" cy="3599815"/>
                        </a:xfrm>
                        <a:prstGeom prst="rect">
                          <a:avLst/>
                        </a:prstGeom>
                        <a:noFill/>
                        <a:ln w="9525">
                          <a:solidFill>
                            <a:srgbClr val="000000"/>
                          </a:solidFill>
                          <a:miter lim="800000"/>
                        </a:ln>
                      </wps:spPr>
                      <wps:txbx>
                        <w:txbxContent>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目</w:t>
                            </w:r>
                            <w:r>
                              <w:rPr>
                                <w:rFonts w:ascii="黑体" w:hAnsi="宋体" w:eastAsia="黑体" w:cs="宋体"/>
                                <w:b/>
                                <w:color w:val="000000"/>
                                <w:kern w:val="0"/>
                                <w:sz w:val="28"/>
                                <w:szCs w:val="28"/>
                              </w:rPr>
                              <w:t xml:space="preserve">  </w:t>
                            </w:r>
                            <w:r>
                              <w:rPr>
                                <w:rFonts w:hint="eastAsia" w:ascii="黑体" w:hAnsi="宋体" w:eastAsia="黑体" w:cs="宋体"/>
                                <w:b/>
                                <w:color w:val="000000"/>
                                <w:kern w:val="0"/>
                                <w:sz w:val="28"/>
                                <w:szCs w:val="28"/>
                              </w:rPr>
                              <w:t>录</w:t>
                            </w:r>
                          </w:p>
                          <w:p>
                            <w:pPr>
                              <w:spacing w:line="288" w:lineRule="auto"/>
                              <w:jc w:val="center"/>
                              <w:rPr>
                                <w:rFonts w:ascii="黑体" w:hAnsi="宋体" w:eastAsia="黑体" w:cs="宋体"/>
                                <w:b/>
                                <w:color w:val="000000"/>
                                <w:kern w:val="0"/>
                                <w:sz w:val="28"/>
                                <w:szCs w:val="28"/>
                              </w:rPr>
                            </w:pP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一、命题双向细目表</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二、命题审定单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三、湖南财政经济学院班级成绩单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四、湖南财政经济学院班级成绩分析单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五、湖南财政经济学院学生平时成绩登记表及平时成绩原始评定依据</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六、考场情况记录表</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七、原始命题试卷</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八、参考答案及评分细则</w:t>
                            </w:r>
                          </w:p>
                          <w:p>
                            <w:pPr>
                              <w:jc w:val="left"/>
                              <w:rPr>
                                <w:b/>
                                <w:sz w:val="40"/>
                                <w:szCs w:val="28"/>
                              </w:rPr>
                            </w:pPr>
                            <w:r>
                              <w:rPr>
                                <w:rFonts w:hint="eastAsia" w:ascii="黑体" w:hAnsi="宋体" w:eastAsia="黑体" w:cs="宋体"/>
                                <w:color w:val="000000"/>
                                <w:kern w:val="0"/>
                                <w:szCs w:val="21"/>
                              </w:rPr>
                              <w:t>九、试卷评阅责任人签名表</w:t>
                            </w:r>
                          </w:p>
                          <w:p>
                            <w:r>
                              <w:rPr>
                                <w:rFonts w:hint="eastAsia" w:ascii="黑体" w:hAnsi="宋体" w:eastAsia="黑体" w:cs="宋体"/>
                                <w:color w:val="000000"/>
                                <w:kern w:val="0"/>
                                <w:szCs w:val="21"/>
                              </w:rPr>
                              <w:t>十</w:t>
                            </w:r>
                            <w:r>
                              <w:rPr>
                                <w:rFonts w:ascii="黑体" w:hAnsi="宋体" w:eastAsia="黑体" w:cs="宋体"/>
                                <w:color w:val="000000"/>
                                <w:kern w:val="0"/>
                                <w:szCs w:val="21"/>
                              </w:rPr>
                              <w:t>、</w:t>
                            </w:r>
                            <w:r>
                              <w:rPr>
                                <w:rFonts w:hint="eastAsia" w:ascii="黑体" w:hAnsi="宋体" w:eastAsia="黑体" w:cs="宋体"/>
                                <w:color w:val="000000"/>
                                <w:kern w:val="0"/>
                                <w:szCs w:val="21"/>
                              </w:rPr>
                              <w:t>考生答题试卷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5pt;margin-top:8.8pt;height:283.45pt;width:198.45pt;z-index:251662336;mso-width-relative:page;mso-height-relative:page;" filled="f" stroked="t" coordsize="21600,21600" o:gfxdata="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s1+A&#10;1wAAAAoBAAAPAAAAAAAAAAEAIAAAACIAAABkcnMvZG93bnJldi54bWxQSwECFAAUAAAACACHTuJA&#10;L1sI2CICAAARBAAADgAAAAAAAAABACAAAAAmAQAAZHJzL2Uyb0RvYy54bWxQSwUGAAAAAAYABgBZ&#10;AQAAugUAAAAA&#10;">
                <v:fill on="f" focussize="0,0"/>
                <v:stroke color="#000000" miterlimit="8" joinstyle="miter"/>
                <v:imagedata o:title=""/>
                <o:lock v:ext="edit" aspectratio="f"/>
                <v:textbox>
                  <w:txbxContent>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目</w:t>
                      </w:r>
                      <w:r>
                        <w:rPr>
                          <w:rFonts w:ascii="黑体" w:hAnsi="宋体" w:eastAsia="黑体" w:cs="宋体"/>
                          <w:b/>
                          <w:color w:val="000000"/>
                          <w:kern w:val="0"/>
                          <w:sz w:val="28"/>
                          <w:szCs w:val="28"/>
                        </w:rPr>
                        <w:t xml:space="preserve">  </w:t>
                      </w:r>
                      <w:r>
                        <w:rPr>
                          <w:rFonts w:hint="eastAsia" w:ascii="黑体" w:hAnsi="宋体" w:eastAsia="黑体" w:cs="宋体"/>
                          <w:b/>
                          <w:color w:val="000000"/>
                          <w:kern w:val="0"/>
                          <w:sz w:val="28"/>
                          <w:szCs w:val="28"/>
                        </w:rPr>
                        <w:t>录</w:t>
                      </w:r>
                    </w:p>
                    <w:p>
                      <w:pPr>
                        <w:spacing w:line="288" w:lineRule="auto"/>
                        <w:jc w:val="center"/>
                        <w:rPr>
                          <w:rFonts w:ascii="黑体" w:hAnsi="宋体" w:eastAsia="黑体" w:cs="宋体"/>
                          <w:b/>
                          <w:color w:val="000000"/>
                          <w:kern w:val="0"/>
                          <w:sz w:val="28"/>
                          <w:szCs w:val="28"/>
                        </w:rPr>
                      </w:pP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一、命题双向细目表</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二、命题审定单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三、湖南财政经济学院班级成绩单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四、湖南财政经济学院班级成绩分析单</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五、湖南财政经济学院学生平时成绩登记表及平时成绩原始评定依据</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六、考场情况记录表</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七、原始命题试卷</w:t>
                      </w:r>
                    </w:p>
                    <w:p>
                      <w:pPr>
                        <w:shd w:val="clear" w:color="auto" w:fill="FFFFFF"/>
                        <w:adjustRightInd w:val="0"/>
                        <w:snapToGrid w:val="0"/>
                        <w:spacing w:line="288" w:lineRule="auto"/>
                        <w:rPr>
                          <w:rFonts w:ascii="黑体" w:hAnsi="宋体" w:eastAsia="黑体" w:cs="宋体"/>
                          <w:color w:val="000000"/>
                          <w:kern w:val="0"/>
                          <w:szCs w:val="21"/>
                        </w:rPr>
                      </w:pPr>
                      <w:r>
                        <w:rPr>
                          <w:rFonts w:hint="eastAsia" w:ascii="黑体" w:hAnsi="宋体" w:eastAsia="黑体" w:cs="宋体"/>
                          <w:color w:val="000000"/>
                          <w:kern w:val="0"/>
                          <w:szCs w:val="21"/>
                        </w:rPr>
                        <w:t>八、参考答案及评分细则</w:t>
                      </w:r>
                    </w:p>
                    <w:p>
                      <w:pPr>
                        <w:jc w:val="left"/>
                        <w:rPr>
                          <w:b/>
                          <w:sz w:val="40"/>
                          <w:szCs w:val="28"/>
                        </w:rPr>
                      </w:pPr>
                      <w:r>
                        <w:rPr>
                          <w:rFonts w:hint="eastAsia" w:ascii="黑体" w:hAnsi="宋体" w:eastAsia="黑体" w:cs="宋体"/>
                          <w:color w:val="000000"/>
                          <w:kern w:val="0"/>
                          <w:szCs w:val="21"/>
                        </w:rPr>
                        <w:t>九、试卷评阅责任人签名表</w:t>
                      </w:r>
                    </w:p>
                    <w:p>
                      <w:r>
                        <w:rPr>
                          <w:rFonts w:hint="eastAsia" w:ascii="黑体" w:hAnsi="宋体" w:eastAsia="黑体" w:cs="宋体"/>
                          <w:color w:val="000000"/>
                          <w:kern w:val="0"/>
                          <w:szCs w:val="21"/>
                        </w:rPr>
                        <w:t>十</w:t>
                      </w:r>
                      <w:r>
                        <w:rPr>
                          <w:rFonts w:ascii="黑体" w:hAnsi="宋体" w:eastAsia="黑体" w:cs="宋体"/>
                          <w:color w:val="000000"/>
                          <w:kern w:val="0"/>
                          <w:szCs w:val="21"/>
                        </w:rPr>
                        <w:t>、</w:t>
                      </w:r>
                      <w:r>
                        <w:rPr>
                          <w:rFonts w:hint="eastAsia" w:ascii="黑体" w:hAnsi="宋体" w:eastAsia="黑体" w:cs="宋体"/>
                          <w:color w:val="000000"/>
                          <w:kern w:val="0"/>
                          <w:szCs w:val="21"/>
                        </w:rPr>
                        <w:t>考生答题试卷</w:t>
                      </w:r>
                    </w:p>
                  </w:txbxContent>
                </v:textbox>
              </v:shape>
            </w:pict>
          </mc:Fallback>
        </mc:AlternateContent>
      </w:r>
      <w:r>
        <w:rPr>
          <w:rFonts w:hint="eastAsia" w:ascii="方正行楷简体" w:eastAsia="方正行楷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125730</wp:posOffset>
                </wp:positionV>
                <wp:extent cx="2520315" cy="3599815"/>
                <wp:effectExtent l="5080" t="9525" r="8255" b="1016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20315" cy="3599815"/>
                        </a:xfrm>
                        <a:prstGeom prst="rect">
                          <a:avLst/>
                        </a:prstGeom>
                        <a:noFill/>
                        <a:ln w="9525">
                          <a:solidFill>
                            <a:srgbClr val="000000"/>
                          </a:solidFill>
                          <a:miter lim="800000"/>
                        </a:ln>
                      </wps:spPr>
                      <wps:txbx>
                        <w:txbxContent>
                          <w:p>
                            <w:pPr>
                              <w:ind w:firstLine="843" w:firstLineChars="300"/>
                              <w:rPr>
                                <w:rFonts w:ascii="黑体" w:hAnsi="宋体" w:eastAsia="黑体"/>
                                <w:b/>
                                <w:color w:val="000000"/>
                                <w:sz w:val="28"/>
                                <w:szCs w:val="28"/>
                              </w:rPr>
                            </w:pPr>
                          </w:p>
                          <w:p>
                            <w:pPr>
                              <w:ind w:firstLine="843" w:firstLineChars="300"/>
                              <w:rPr>
                                <w:rFonts w:ascii="黑体" w:hAnsi="宋体" w:eastAsia="黑体"/>
                                <w:b/>
                                <w:color w:val="000000"/>
                                <w:sz w:val="28"/>
                                <w:szCs w:val="28"/>
                              </w:rPr>
                            </w:pPr>
                          </w:p>
                          <w:p>
                            <w:pPr>
                              <w:ind w:firstLine="1440" w:firstLineChars="600"/>
                              <w:rPr>
                                <w:rFonts w:ascii="黑体" w:hAnsi="宋体" w:eastAsia="黑体"/>
                                <w:color w:val="000000"/>
                                <w:sz w:val="28"/>
                                <w:szCs w:val="28"/>
                              </w:rPr>
                            </w:pPr>
                            <w:r>
                              <w:rPr>
                                <w:rFonts w:hint="eastAsia" w:ascii="黑体" w:hAnsi="宋体" w:eastAsia="黑体"/>
                                <w:color w:val="000000"/>
                                <w:sz w:val="24"/>
                              </w:rPr>
                              <w:t>湖南财政经济学院</w:t>
                            </w: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spacing w:line="400" w:lineRule="exact"/>
                              <w:jc w:val="center"/>
                              <w:rPr>
                                <w:rFonts w:ascii="黑体" w:hAnsi="宋体" w:eastAsia="黑体" w:cs="宋体"/>
                                <w:b/>
                                <w:color w:val="000000"/>
                                <w:szCs w:val="21"/>
                              </w:rPr>
                            </w:pPr>
                            <w:r>
                              <w:rPr>
                                <w:rFonts w:ascii="Times New Roman" w:hAnsi="Times New Roman" w:eastAsia="黑体"/>
                                <w:b/>
                                <w:color w:val="000000"/>
                                <w:szCs w:val="21"/>
                              </w:rPr>
                              <w:t>2016</w:t>
                            </w:r>
                            <w:r>
                              <w:rPr>
                                <w:rFonts w:ascii="黑体" w:hAnsi="宋体" w:eastAsia="黑体" w:cs="宋体"/>
                                <w:b/>
                                <w:color w:val="000000"/>
                                <w:szCs w:val="21"/>
                              </w:rPr>
                              <w:t>-</w:t>
                            </w:r>
                            <w:r>
                              <w:rPr>
                                <w:rFonts w:ascii="Times New Roman" w:hAnsi="Times New Roman" w:eastAsia="黑体"/>
                                <w:b/>
                                <w:color w:val="000000"/>
                                <w:szCs w:val="21"/>
                              </w:rPr>
                              <w:t>2017</w:t>
                            </w:r>
                            <w:r>
                              <w:rPr>
                                <w:rFonts w:ascii="黑体" w:hAnsi="宋体" w:eastAsia="黑体" w:cs="宋体"/>
                                <w:b/>
                                <w:color w:val="000000"/>
                                <w:szCs w:val="21"/>
                              </w:rPr>
                              <w:t>-</w:t>
                            </w:r>
                            <w:r>
                              <w:rPr>
                                <w:rFonts w:ascii="Times New Roman" w:hAnsi="Times New Roman" w:eastAsia="黑体"/>
                                <w:b/>
                                <w:color w:val="000000"/>
                                <w:szCs w:val="21"/>
                              </w:rPr>
                              <w:t>1</w:t>
                            </w:r>
                            <w:r>
                              <w:rPr>
                                <w:rFonts w:hint="eastAsia" w:ascii="黑体" w:hAnsi="宋体" w:eastAsia="黑体" w:cs="宋体"/>
                                <w:b/>
                                <w:color w:val="000000"/>
                                <w:szCs w:val="21"/>
                              </w:rPr>
                              <w:t>学期命题考试材料</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rPr>
                              <w:t>科目</w:t>
                            </w:r>
                            <w:r>
                              <w:rPr>
                                <w:rFonts w:ascii="黑体" w:hAnsi="宋体" w:eastAsia="黑体" w:cs="宋体"/>
                                <w:b/>
                                <w:color w:val="000000"/>
                                <w:szCs w:val="21"/>
                              </w:rPr>
                              <w:t xml:space="preserve"> </w:t>
                            </w:r>
                            <w:r>
                              <w:rPr>
                                <w:rFonts w:ascii="黑体" w:hAnsi="宋体" w:eastAsia="黑体" w:cs="宋体"/>
                                <w:b/>
                                <w:color w:val="000000"/>
                                <w:szCs w:val="21"/>
                                <w:u w:val="single"/>
                              </w:rPr>
                              <w:t xml:space="preserve">             </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u w:val="single"/>
                              </w:rPr>
                              <w:t>　　　　　　　学院</w:t>
                            </w:r>
                          </w:p>
                          <w:p>
                            <w:pPr>
                              <w:spacing w:line="400" w:lineRule="exact"/>
                              <w:ind w:firstLine="837" w:firstLineChars="399"/>
                              <w:rPr>
                                <w:szCs w:val="21"/>
                              </w:rPr>
                            </w:pPr>
                            <w:r>
                              <w:rPr>
                                <w:rFonts w:hint="eastAsia" w:ascii="黑体" w:hAnsi="宋体" w:eastAsia="黑体" w:cs="宋体"/>
                                <w:color w:val="000000"/>
                                <w:szCs w:val="21"/>
                              </w:rPr>
                              <w:t>二○一　　年　　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9pt;height:283.45pt;width:198.45pt;z-index:251661312;mso-width-relative:page;mso-height-relative:page;" filled="f" stroked="t" coordsize="21600,21600" o:gfxdata="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dZb3tcA&#10;AAAJAQAADwAAAAAAAAABACAAAAAiAAAAZHJzL2Rvd25yZXYueG1sUEsBAhQAFAAAAAgAh07iQLAt&#10;m50gAgAAEQQAAA4AAAAAAAAAAQAgAAAAJgEAAGRycy9lMm9Eb2MueG1sUEsFBgAAAAAGAAYAWQEA&#10;ALgFAAAAAA==&#10;">
                <v:fill on="f" focussize="0,0"/>
                <v:stroke color="#000000" miterlimit="8" joinstyle="miter"/>
                <v:imagedata o:title=""/>
                <o:lock v:ext="edit" aspectratio="f"/>
                <v:textbox>
                  <w:txbxContent>
                    <w:p>
                      <w:pPr>
                        <w:ind w:firstLine="843" w:firstLineChars="300"/>
                        <w:rPr>
                          <w:rFonts w:ascii="黑体" w:hAnsi="宋体" w:eastAsia="黑体"/>
                          <w:b/>
                          <w:color w:val="000000"/>
                          <w:sz w:val="28"/>
                          <w:szCs w:val="28"/>
                        </w:rPr>
                      </w:pPr>
                    </w:p>
                    <w:p>
                      <w:pPr>
                        <w:ind w:firstLine="843" w:firstLineChars="300"/>
                        <w:rPr>
                          <w:rFonts w:ascii="黑体" w:hAnsi="宋体" w:eastAsia="黑体"/>
                          <w:b/>
                          <w:color w:val="000000"/>
                          <w:sz w:val="28"/>
                          <w:szCs w:val="28"/>
                        </w:rPr>
                      </w:pPr>
                    </w:p>
                    <w:p>
                      <w:pPr>
                        <w:ind w:firstLine="1440" w:firstLineChars="600"/>
                        <w:rPr>
                          <w:rFonts w:ascii="黑体" w:hAnsi="宋体" w:eastAsia="黑体"/>
                          <w:color w:val="000000"/>
                          <w:sz w:val="28"/>
                          <w:szCs w:val="28"/>
                        </w:rPr>
                      </w:pPr>
                      <w:r>
                        <w:rPr>
                          <w:rFonts w:hint="eastAsia" w:ascii="黑体" w:hAnsi="宋体" w:eastAsia="黑体"/>
                          <w:color w:val="000000"/>
                          <w:sz w:val="24"/>
                        </w:rPr>
                        <w:t>湖南财政经济学院</w:t>
                      </w: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spacing w:line="400" w:lineRule="exact"/>
                        <w:jc w:val="center"/>
                        <w:rPr>
                          <w:rFonts w:ascii="黑体" w:hAnsi="宋体" w:eastAsia="黑体" w:cs="宋体"/>
                          <w:b/>
                          <w:color w:val="000000"/>
                          <w:szCs w:val="21"/>
                        </w:rPr>
                      </w:pPr>
                      <w:r>
                        <w:rPr>
                          <w:rFonts w:ascii="Times New Roman" w:hAnsi="Times New Roman" w:eastAsia="黑体"/>
                          <w:b/>
                          <w:color w:val="000000"/>
                          <w:szCs w:val="21"/>
                        </w:rPr>
                        <w:t>2016</w:t>
                      </w:r>
                      <w:r>
                        <w:rPr>
                          <w:rFonts w:ascii="黑体" w:hAnsi="宋体" w:eastAsia="黑体" w:cs="宋体"/>
                          <w:b/>
                          <w:color w:val="000000"/>
                          <w:szCs w:val="21"/>
                        </w:rPr>
                        <w:t>-</w:t>
                      </w:r>
                      <w:r>
                        <w:rPr>
                          <w:rFonts w:ascii="Times New Roman" w:hAnsi="Times New Roman" w:eastAsia="黑体"/>
                          <w:b/>
                          <w:color w:val="000000"/>
                          <w:szCs w:val="21"/>
                        </w:rPr>
                        <w:t>2017</w:t>
                      </w:r>
                      <w:r>
                        <w:rPr>
                          <w:rFonts w:ascii="黑体" w:hAnsi="宋体" w:eastAsia="黑体" w:cs="宋体"/>
                          <w:b/>
                          <w:color w:val="000000"/>
                          <w:szCs w:val="21"/>
                        </w:rPr>
                        <w:t>-</w:t>
                      </w:r>
                      <w:r>
                        <w:rPr>
                          <w:rFonts w:ascii="Times New Roman" w:hAnsi="Times New Roman" w:eastAsia="黑体"/>
                          <w:b/>
                          <w:color w:val="000000"/>
                          <w:szCs w:val="21"/>
                        </w:rPr>
                        <w:t>1</w:t>
                      </w:r>
                      <w:r>
                        <w:rPr>
                          <w:rFonts w:hint="eastAsia" w:ascii="黑体" w:hAnsi="宋体" w:eastAsia="黑体" w:cs="宋体"/>
                          <w:b/>
                          <w:color w:val="000000"/>
                          <w:szCs w:val="21"/>
                        </w:rPr>
                        <w:t>学期命题考试材料</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rPr>
                        <w:t>科目</w:t>
                      </w:r>
                      <w:r>
                        <w:rPr>
                          <w:rFonts w:ascii="黑体" w:hAnsi="宋体" w:eastAsia="黑体" w:cs="宋体"/>
                          <w:b/>
                          <w:color w:val="000000"/>
                          <w:szCs w:val="21"/>
                        </w:rPr>
                        <w:t xml:space="preserve"> </w:t>
                      </w:r>
                      <w:r>
                        <w:rPr>
                          <w:rFonts w:ascii="黑体" w:hAnsi="宋体" w:eastAsia="黑体" w:cs="宋体"/>
                          <w:b/>
                          <w:color w:val="000000"/>
                          <w:szCs w:val="21"/>
                          <w:u w:val="single"/>
                        </w:rPr>
                        <w:t xml:space="preserve">             </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u w:val="single"/>
                        </w:rPr>
                        <w:t>　　　　　　　学院</w:t>
                      </w:r>
                    </w:p>
                    <w:p>
                      <w:pPr>
                        <w:spacing w:line="400" w:lineRule="exact"/>
                        <w:ind w:firstLine="837" w:firstLineChars="399"/>
                        <w:rPr>
                          <w:szCs w:val="21"/>
                        </w:rPr>
                      </w:pPr>
                      <w:r>
                        <w:rPr>
                          <w:rFonts w:hint="eastAsia" w:ascii="黑体" w:hAnsi="宋体" w:eastAsia="黑体" w:cs="宋体"/>
                          <w:color w:val="000000"/>
                          <w:szCs w:val="21"/>
                        </w:rPr>
                        <w:t>二○一　　年　　月</w:t>
                      </w:r>
                    </w:p>
                  </w:txbxContent>
                </v:textbox>
              </v:shape>
            </w:pict>
          </mc:Fallback>
        </mc:AlternateContent>
      </w:r>
    </w:p>
    <w:p>
      <w:pPr>
        <w:spacing w:line="288" w:lineRule="auto"/>
        <w:jc w:val="center"/>
        <w:rPr>
          <w:rFonts w:ascii="方正行楷简体" w:eastAsia="方正行楷简体"/>
          <w:color w:val="000000"/>
          <w:sz w:val="44"/>
          <w:szCs w:val="44"/>
        </w:rPr>
      </w:pPr>
      <w:r>
        <w:drawing>
          <wp:anchor distT="0" distB="0" distL="114300" distR="114300" simplePos="0" relativeHeight="251659264" behindDoc="0" locked="0" layoutInCell="1" allowOverlap="1">
            <wp:simplePos x="0" y="0"/>
            <wp:positionH relativeFrom="column">
              <wp:posOffset>342900</wp:posOffset>
            </wp:positionH>
            <wp:positionV relativeFrom="paragraph">
              <wp:posOffset>-635</wp:posOffset>
            </wp:positionV>
            <wp:extent cx="685800" cy="447675"/>
            <wp:effectExtent l="0" t="0" r="0" b="9525"/>
            <wp:wrapNone/>
            <wp:docPr id="4" name="图片 4" descr="~404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045568"/>
                    <pic:cNvPicPr>
                      <a:picLocks noChangeAspect="1" noChangeArrowheads="1"/>
                    </pic:cNvPicPr>
                  </pic:nvPicPr>
                  <pic:blipFill>
                    <a:blip r:embed="rId4" cstate="print">
                      <a:extLst>
                        <a:ext uri="{28A0092B-C50C-407E-A947-70E740481C1C}">
                          <a14:useLocalDpi xmlns:a14="http://schemas.microsoft.com/office/drawing/2010/main" val="0"/>
                        </a:ext>
                      </a:extLst>
                    </a:blip>
                    <a:srcRect l="4964" t="20003" r="31929" b="20193"/>
                    <a:stretch>
                      <a:fillRect/>
                    </a:stretch>
                  </pic:blipFill>
                  <pic:spPr>
                    <a:xfrm>
                      <a:off x="0" y="0"/>
                      <a:ext cx="685800" cy="447675"/>
                    </a:xfrm>
                    <a:prstGeom prst="rect">
                      <a:avLst/>
                    </a:prstGeom>
                    <a:noFill/>
                    <a:ln>
                      <a:noFill/>
                    </a:ln>
                  </pic:spPr>
                </pic:pic>
              </a:graphicData>
            </a:graphic>
          </wp:anchor>
        </w:drawing>
      </w:r>
    </w:p>
    <w:p>
      <w:pPr>
        <w:spacing w:line="288" w:lineRule="auto"/>
        <w:jc w:val="center"/>
        <w:rPr>
          <w:rFonts w:ascii="方正行楷简体" w:eastAsia="方正行楷简体"/>
          <w:color w:val="000000"/>
          <w:sz w:val="44"/>
          <w:szCs w:val="44"/>
        </w:rPr>
      </w:pPr>
    </w:p>
    <w:p>
      <w:pPr>
        <w:spacing w:line="288" w:lineRule="auto"/>
        <w:jc w:val="center"/>
        <w:rPr>
          <w:rFonts w:ascii="方正行楷简体" w:eastAsia="方正行楷简体"/>
          <w:color w:val="000000"/>
          <w:sz w:val="44"/>
          <w:szCs w:val="44"/>
        </w:rPr>
      </w:pPr>
    </w:p>
    <w:p>
      <w:pPr>
        <w:spacing w:line="288" w:lineRule="auto"/>
        <w:jc w:val="center"/>
        <w:rPr>
          <w:rFonts w:ascii="方正行楷简体" w:eastAsia="方正行楷简体"/>
          <w:color w:val="000000"/>
          <w:sz w:val="44"/>
          <w:szCs w:val="44"/>
        </w:rPr>
      </w:pPr>
    </w:p>
    <w:p>
      <w:pPr>
        <w:spacing w:line="288" w:lineRule="auto"/>
        <w:jc w:val="center"/>
        <w:rPr>
          <w:rFonts w:ascii="方正行楷简体" w:eastAsia="方正行楷简体"/>
          <w:color w:val="000000"/>
          <w:sz w:val="44"/>
          <w:szCs w:val="44"/>
        </w:rPr>
      </w:pPr>
    </w:p>
    <w:p>
      <w:pPr>
        <w:spacing w:line="288" w:lineRule="auto"/>
        <w:jc w:val="center"/>
        <w:rPr>
          <w:rFonts w:ascii="方正行楷简体" w:eastAsia="方正行楷简体"/>
          <w:color w:val="000000"/>
          <w:sz w:val="44"/>
          <w:szCs w:val="44"/>
        </w:rPr>
      </w:pPr>
    </w:p>
    <w:p/>
    <w:p>
      <w:pPr>
        <w:rPr>
          <w:rFonts w:ascii="楷体_GB2312" w:eastAsia="楷体_GB2312"/>
          <w:b/>
        </w:rPr>
      </w:pPr>
    </w:p>
    <w:p>
      <w:pPr>
        <w:rPr>
          <w:rFonts w:ascii="黑体" w:hAnsi="宋体" w:eastAsia="黑体" w:cs="宋体"/>
          <w:b/>
          <w:sz w:val="24"/>
        </w:rPr>
      </w:pPr>
    </w:p>
    <w:p>
      <w:pPr>
        <w:rPr>
          <w:rFonts w:ascii="黑体" w:hAnsi="宋体" w:eastAsia="黑体" w:cs="宋体"/>
          <w:b/>
          <w:sz w:val="24"/>
          <w:u w:val="single"/>
        </w:rPr>
      </w:pPr>
    </w:p>
    <w:p>
      <w:pPr>
        <w:rPr>
          <w:rFonts w:ascii="楷体_GB2312" w:eastAsia="楷体_GB2312"/>
          <w:b/>
        </w:rPr>
      </w:pPr>
    </w:p>
    <w:p>
      <w:pPr>
        <w:rPr>
          <w:rFonts w:ascii="黑体" w:hAnsi="宋体" w:eastAsia="黑体" w:cs="宋体"/>
          <w:kern w:val="0"/>
          <w:sz w:val="24"/>
        </w:rPr>
      </w:pPr>
    </w:p>
    <w:p>
      <w:pPr>
        <w:rPr>
          <w:rFonts w:ascii="黑体" w:hAnsi="宋体" w:eastAsia="黑体" w:cs="宋体"/>
          <w:kern w:val="0"/>
          <w:sz w:val="24"/>
        </w:rPr>
      </w:pPr>
    </w:p>
    <w:p>
      <w:pPr>
        <w:rPr>
          <w:rFonts w:ascii="宋体" w:cs="宋体"/>
          <w:kern w:val="0"/>
          <w:szCs w:val="21"/>
        </w:rPr>
      </w:pPr>
    </w:p>
    <w:p>
      <w:pPr>
        <w:rPr>
          <w:rFonts w:ascii="宋体" w:cs="宋体"/>
          <w:kern w:val="0"/>
          <w:szCs w:val="21"/>
        </w:rPr>
      </w:pPr>
    </w:p>
    <w:p>
      <w:pPr>
        <w:rPr>
          <w:szCs w:val="21"/>
        </w:rPr>
      </w:pPr>
    </w:p>
    <w:p>
      <w:pPr>
        <w:rPr>
          <w:b/>
        </w:rPr>
      </w:pPr>
    </w:p>
    <w:p>
      <w:pPr>
        <w:spacing w:line="288" w:lineRule="auto"/>
        <w:jc w:val="center"/>
        <w:rPr>
          <w:b/>
          <w:color w:val="000000"/>
          <w:sz w:val="44"/>
          <w:szCs w:val="44"/>
        </w:rPr>
      </w:pPr>
      <w:r>
        <w:rPr>
          <w:b/>
          <w:color w:val="000000"/>
          <w:sz w:val="44"/>
          <w:szCs w:val="44"/>
        </w:rPr>
        <w:br w:type="page"/>
      </w:r>
    </w:p>
    <w:p>
      <w:pPr>
        <w:spacing w:line="288" w:lineRule="auto"/>
        <w:jc w:val="center"/>
        <w:rPr>
          <w:b/>
          <w:color w:val="000000"/>
          <w:sz w:val="44"/>
          <w:szCs w:val="44"/>
        </w:rPr>
      </w:pPr>
    </w:p>
    <w:p>
      <w:pPr>
        <w:spacing w:line="288" w:lineRule="auto"/>
        <w:jc w:val="center"/>
        <w:rPr>
          <w:b/>
          <w:color w:val="000000"/>
          <w:sz w:val="44"/>
          <w:szCs w:val="44"/>
        </w:rPr>
      </w:pPr>
    </w:p>
    <w:p>
      <w:pPr>
        <w:spacing w:line="288" w:lineRule="auto"/>
        <w:jc w:val="center"/>
        <w:rPr>
          <w:b/>
          <w:color w:val="000000"/>
          <w:sz w:val="44"/>
          <w:szCs w:val="44"/>
        </w:rPr>
      </w:pPr>
      <w:r>
        <w:rPr>
          <w:rFonts w:hint="eastAsia"/>
          <w:b/>
          <w:color w:val="000000"/>
          <w:sz w:val="44"/>
          <w:szCs w:val="44"/>
        </w:rPr>
        <mc:AlternateContent>
          <mc:Choice Requires="wps">
            <w:drawing>
              <wp:anchor distT="0" distB="0" distL="114300" distR="114300" simplePos="0" relativeHeight="251663360" behindDoc="0" locked="0" layoutInCell="1" allowOverlap="1">
                <wp:simplePos x="0" y="0"/>
                <wp:positionH relativeFrom="column">
                  <wp:posOffset>184150</wp:posOffset>
                </wp:positionH>
                <wp:positionV relativeFrom="paragraph">
                  <wp:posOffset>158750</wp:posOffset>
                </wp:positionV>
                <wp:extent cx="2520315" cy="3599815"/>
                <wp:effectExtent l="8255" t="8890" r="5080" b="1079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20315" cy="3599815"/>
                        </a:xfrm>
                        <a:prstGeom prst="rect">
                          <a:avLst/>
                        </a:prstGeom>
                        <a:noFill/>
                        <a:ln w="9525">
                          <a:solidFill>
                            <a:srgbClr val="000000"/>
                          </a:solidFill>
                          <a:miter lim="800000"/>
                        </a:ln>
                      </wps:spPr>
                      <wps:txbx>
                        <w:txbxContent>
                          <w:p>
                            <w:pPr>
                              <w:ind w:firstLine="843" w:firstLineChars="300"/>
                              <w:rPr>
                                <w:rFonts w:ascii="黑体" w:hAnsi="宋体" w:eastAsia="黑体"/>
                                <w:b/>
                                <w:color w:val="000000"/>
                                <w:sz w:val="28"/>
                                <w:szCs w:val="28"/>
                              </w:rPr>
                            </w:pPr>
                          </w:p>
                          <w:p>
                            <w:pPr>
                              <w:ind w:firstLine="843" w:firstLineChars="300"/>
                              <w:rPr>
                                <w:rFonts w:ascii="黑体" w:hAnsi="宋体" w:eastAsia="黑体"/>
                                <w:b/>
                                <w:color w:val="000000"/>
                                <w:sz w:val="28"/>
                                <w:szCs w:val="28"/>
                              </w:rPr>
                            </w:pPr>
                          </w:p>
                          <w:p>
                            <w:pPr>
                              <w:ind w:firstLine="1440" w:firstLineChars="600"/>
                              <w:rPr>
                                <w:rFonts w:ascii="黑体" w:hAnsi="宋体" w:eastAsia="黑体"/>
                                <w:color w:val="000000"/>
                                <w:sz w:val="28"/>
                                <w:szCs w:val="28"/>
                              </w:rPr>
                            </w:pPr>
                            <w:r>
                              <w:rPr>
                                <w:rFonts w:hint="eastAsia" w:ascii="黑体" w:hAnsi="宋体" w:eastAsia="黑体"/>
                                <w:color w:val="000000"/>
                                <w:sz w:val="24"/>
                              </w:rPr>
                              <w:t>湖南财政经济学院</w:t>
                            </w: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spacing w:line="400" w:lineRule="exact"/>
                              <w:jc w:val="center"/>
                              <w:rPr>
                                <w:rFonts w:ascii="黑体" w:hAnsi="宋体" w:eastAsia="黑体" w:cs="宋体"/>
                                <w:b/>
                                <w:color w:val="000000"/>
                                <w:szCs w:val="21"/>
                              </w:rPr>
                            </w:pPr>
                            <w:r>
                              <w:rPr>
                                <w:rFonts w:ascii="Times New Roman" w:hAnsi="Times New Roman" w:eastAsia="黑体"/>
                                <w:b/>
                                <w:color w:val="000000"/>
                                <w:szCs w:val="21"/>
                              </w:rPr>
                              <w:t>2016</w:t>
                            </w:r>
                            <w:r>
                              <w:rPr>
                                <w:rFonts w:ascii="黑体" w:hAnsi="宋体" w:eastAsia="黑体" w:cs="宋体"/>
                                <w:b/>
                                <w:color w:val="000000"/>
                                <w:szCs w:val="21"/>
                              </w:rPr>
                              <w:t>-</w:t>
                            </w:r>
                            <w:r>
                              <w:rPr>
                                <w:rFonts w:ascii="Times New Roman" w:hAnsi="Times New Roman" w:eastAsia="黑体"/>
                                <w:b/>
                                <w:color w:val="000000"/>
                                <w:szCs w:val="21"/>
                              </w:rPr>
                              <w:t>2017</w:t>
                            </w:r>
                            <w:r>
                              <w:rPr>
                                <w:rFonts w:ascii="黑体" w:hAnsi="宋体" w:eastAsia="黑体" w:cs="宋体"/>
                                <w:b/>
                                <w:color w:val="000000"/>
                                <w:szCs w:val="21"/>
                              </w:rPr>
                              <w:t>-</w:t>
                            </w:r>
                            <w:r>
                              <w:rPr>
                                <w:rFonts w:ascii="Times New Roman" w:hAnsi="Times New Roman" w:eastAsia="黑体"/>
                                <w:b/>
                                <w:color w:val="000000"/>
                                <w:szCs w:val="21"/>
                              </w:rPr>
                              <w:t>1</w:t>
                            </w:r>
                            <w:r>
                              <w:rPr>
                                <w:rFonts w:hint="eastAsia" w:ascii="黑体" w:hAnsi="宋体" w:eastAsia="黑体" w:cs="宋体"/>
                                <w:b/>
                                <w:color w:val="000000"/>
                                <w:szCs w:val="21"/>
                              </w:rPr>
                              <w:t>学期非命题考试材料</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rPr>
                              <w:t>科目</w:t>
                            </w:r>
                            <w:r>
                              <w:rPr>
                                <w:rFonts w:ascii="黑体" w:hAnsi="宋体" w:eastAsia="黑体" w:cs="宋体"/>
                                <w:b/>
                                <w:color w:val="000000"/>
                                <w:szCs w:val="21"/>
                              </w:rPr>
                              <w:t xml:space="preserve"> </w:t>
                            </w:r>
                            <w:r>
                              <w:rPr>
                                <w:rFonts w:ascii="黑体" w:hAnsi="宋体" w:eastAsia="黑体" w:cs="宋体"/>
                                <w:b/>
                                <w:color w:val="000000"/>
                                <w:szCs w:val="21"/>
                                <w:u w:val="single"/>
                              </w:rPr>
                              <w:t xml:space="preserve">             </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u w:val="single"/>
                              </w:rPr>
                              <w:t>　　　　　　　学院</w:t>
                            </w:r>
                          </w:p>
                          <w:p>
                            <w:pPr>
                              <w:spacing w:line="400" w:lineRule="exact"/>
                              <w:ind w:firstLine="837" w:firstLineChars="399"/>
                              <w:rPr>
                                <w:szCs w:val="21"/>
                              </w:rPr>
                            </w:pPr>
                            <w:r>
                              <w:rPr>
                                <w:rFonts w:hint="eastAsia" w:ascii="黑体" w:hAnsi="宋体" w:eastAsia="黑体" w:cs="宋体"/>
                                <w:color w:val="000000"/>
                                <w:szCs w:val="21"/>
                              </w:rPr>
                              <w:t>二○一　　年　　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5pt;margin-top:12.5pt;height:283.45pt;width:198.45pt;z-index:251663360;mso-width-relative:page;mso-height-relative:page;" filled="f" stroked="t" coordsize="21600,21600" o:gfxdata="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imwNNYA&#10;AAAJAQAADwAAAAAAAAABACAAAAAiAAAAZHJzL2Rvd25yZXYueG1sUEsBAhQAFAAAAAgAh07iQI7A&#10;vRYhAgAAEQQAAA4AAAAAAAAAAQAgAAAAJQEAAGRycy9lMm9Eb2MueG1sUEsFBgAAAAAGAAYAWQEA&#10;ALgFAAAAAA==&#10;">
                <v:fill on="f" focussize="0,0"/>
                <v:stroke color="#000000" miterlimit="8" joinstyle="miter"/>
                <v:imagedata o:title=""/>
                <o:lock v:ext="edit" aspectratio="f"/>
                <v:textbox>
                  <w:txbxContent>
                    <w:p>
                      <w:pPr>
                        <w:ind w:firstLine="843" w:firstLineChars="300"/>
                        <w:rPr>
                          <w:rFonts w:ascii="黑体" w:hAnsi="宋体" w:eastAsia="黑体"/>
                          <w:b/>
                          <w:color w:val="000000"/>
                          <w:sz w:val="28"/>
                          <w:szCs w:val="28"/>
                        </w:rPr>
                      </w:pPr>
                    </w:p>
                    <w:p>
                      <w:pPr>
                        <w:ind w:firstLine="843" w:firstLineChars="300"/>
                        <w:rPr>
                          <w:rFonts w:ascii="黑体" w:hAnsi="宋体" w:eastAsia="黑体"/>
                          <w:b/>
                          <w:color w:val="000000"/>
                          <w:sz w:val="28"/>
                          <w:szCs w:val="28"/>
                        </w:rPr>
                      </w:pPr>
                    </w:p>
                    <w:p>
                      <w:pPr>
                        <w:ind w:firstLine="1440" w:firstLineChars="600"/>
                        <w:rPr>
                          <w:rFonts w:ascii="黑体" w:hAnsi="宋体" w:eastAsia="黑体"/>
                          <w:color w:val="000000"/>
                          <w:sz w:val="28"/>
                          <w:szCs w:val="28"/>
                        </w:rPr>
                      </w:pPr>
                      <w:r>
                        <w:rPr>
                          <w:rFonts w:hint="eastAsia" w:ascii="黑体" w:hAnsi="宋体" w:eastAsia="黑体"/>
                          <w:color w:val="000000"/>
                          <w:sz w:val="24"/>
                        </w:rPr>
                        <w:t>湖南财政经济学院</w:t>
                      </w: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ind w:firstLine="1405" w:firstLineChars="500"/>
                        <w:rPr>
                          <w:rFonts w:ascii="黑体" w:hAnsi="宋体" w:eastAsia="黑体"/>
                          <w:b/>
                          <w:color w:val="000000"/>
                          <w:sz w:val="28"/>
                          <w:szCs w:val="28"/>
                        </w:rPr>
                      </w:pPr>
                    </w:p>
                    <w:p>
                      <w:pPr>
                        <w:spacing w:line="400" w:lineRule="exact"/>
                        <w:jc w:val="center"/>
                        <w:rPr>
                          <w:rFonts w:ascii="黑体" w:hAnsi="宋体" w:eastAsia="黑体" w:cs="宋体"/>
                          <w:b/>
                          <w:color w:val="000000"/>
                          <w:szCs w:val="21"/>
                        </w:rPr>
                      </w:pPr>
                      <w:r>
                        <w:rPr>
                          <w:rFonts w:ascii="Times New Roman" w:hAnsi="Times New Roman" w:eastAsia="黑体"/>
                          <w:b/>
                          <w:color w:val="000000"/>
                          <w:szCs w:val="21"/>
                        </w:rPr>
                        <w:t>2016</w:t>
                      </w:r>
                      <w:r>
                        <w:rPr>
                          <w:rFonts w:ascii="黑体" w:hAnsi="宋体" w:eastAsia="黑体" w:cs="宋体"/>
                          <w:b/>
                          <w:color w:val="000000"/>
                          <w:szCs w:val="21"/>
                        </w:rPr>
                        <w:t>-</w:t>
                      </w:r>
                      <w:r>
                        <w:rPr>
                          <w:rFonts w:ascii="Times New Roman" w:hAnsi="Times New Roman" w:eastAsia="黑体"/>
                          <w:b/>
                          <w:color w:val="000000"/>
                          <w:szCs w:val="21"/>
                        </w:rPr>
                        <w:t>2017</w:t>
                      </w:r>
                      <w:r>
                        <w:rPr>
                          <w:rFonts w:ascii="黑体" w:hAnsi="宋体" w:eastAsia="黑体" w:cs="宋体"/>
                          <w:b/>
                          <w:color w:val="000000"/>
                          <w:szCs w:val="21"/>
                        </w:rPr>
                        <w:t>-</w:t>
                      </w:r>
                      <w:r>
                        <w:rPr>
                          <w:rFonts w:ascii="Times New Roman" w:hAnsi="Times New Roman" w:eastAsia="黑体"/>
                          <w:b/>
                          <w:color w:val="000000"/>
                          <w:szCs w:val="21"/>
                        </w:rPr>
                        <w:t>1</w:t>
                      </w:r>
                      <w:r>
                        <w:rPr>
                          <w:rFonts w:hint="eastAsia" w:ascii="黑体" w:hAnsi="宋体" w:eastAsia="黑体" w:cs="宋体"/>
                          <w:b/>
                          <w:color w:val="000000"/>
                          <w:szCs w:val="21"/>
                        </w:rPr>
                        <w:t>学期非命题考试材料</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rPr>
                        <w:t>科目</w:t>
                      </w:r>
                      <w:r>
                        <w:rPr>
                          <w:rFonts w:ascii="黑体" w:hAnsi="宋体" w:eastAsia="黑体" w:cs="宋体"/>
                          <w:b/>
                          <w:color w:val="000000"/>
                          <w:szCs w:val="21"/>
                        </w:rPr>
                        <w:t xml:space="preserve"> </w:t>
                      </w:r>
                      <w:r>
                        <w:rPr>
                          <w:rFonts w:ascii="黑体" w:hAnsi="宋体" w:eastAsia="黑体" w:cs="宋体"/>
                          <w:b/>
                          <w:color w:val="000000"/>
                          <w:szCs w:val="21"/>
                          <w:u w:val="single"/>
                        </w:rPr>
                        <w:t xml:space="preserve">             </w:t>
                      </w:r>
                    </w:p>
                    <w:p>
                      <w:pPr>
                        <w:spacing w:line="400" w:lineRule="exact"/>
                        <w:ind w:firstLine="841" w:firstLineChars="399"/>
                        <w:rPr>
                          <w:rFonts w:ascii="黑体" w:hAnsi="宋体" w:eastAsia="黑体" w:cs="宋体"/>
                          <w:b/>
                          <w:color w:val="000000"/>
                          <w:szCs w:val="21"/>
                          <w:u w:val="single"/>
                        </w:rPr>
                      </w:pPr>
                      <w:r>
                        <w:rPr>
                          <w:rFonts w:hint="eastAsia" w:ascii="黑体" w:hAnsi="宋体" w:eastAsia="黑体" w:cs="宋体"/>
                          <w:b/>
                          <w:color w:val="000000"/>
                          <w:szCs w:val="21"/>
                          <w:u w:val="single"/>
                        </w:rPr>
                        <w:t>　　　　　　　学院</w:t>
                      </w:r>
                    </w:p>
                    <w:p>
                      <w:pPr>
                        <w:spacing w:line="400" w:lineRule="exact"/>
                        <w:ind w:firstLine="837" w:firstLineChars="399"/>
                        <w:rPr>
                          <w:szCs w:val="21"/>
                        </w:rPr>
                      </w:pPr>
                      <w:r>
                        <w:rPr>
                          <w:rFonts w:hint="eastAsia" w:ascii="黑体" w:hAnsi="宋体" w:eastAsia="黑体" w:cs="宋体"/>
                          <w:color w:val="000000"/>
                          <w:szCs w:val="21"/>
                        </w:rPr>
                        <w:t>二○一　　年　　月</w:t>
                      </w:r>
                    </w:p>
                  </w:txbxContent>
                </v:textbox>
              </v:shape>
            </w:pict>
          </mc:Fallback>
        </mc:AlternateContent>
      </w:r>
      <w:r>
        <w:rPr>
          <w:rFonts w:hint="eastAsia" w:ascii="楷体_GB2312" w:eastAsia="楷体_GB2312"/>
          <w:b/>
          <w:color w:val="000000"/>
          <w:sz w:val="44"/>
          <w:szCs w:val="44"/>
        </w:rPr>
        <mc:AlternateContent>
          <mc:Choice Requires="wps">
            <w:drawing>
              <wp:anchor distT="0" distB="0" distL="114300" distR="114300" simplePos="0" relativeHeight="251664384" behindDoc="0" locked="0" layoutInCell="1" allowOverlap="1">
                <wp:simplePos x="0" y="0"/>
                <wp:positionH relativeFrom="column">
                  <wp:posOffset>3090545</wp:posOffset>
                </wp:positionH>
                <wp:positionV relativeFrom="paragraph">
                  <wp:posOffset>149860</wp:posOffset>
                </wp:positionV>
                <wp:extent cx="2520315" cy="3599815"/>
                <wp:effectExtent l="9525" t="9525" r="13335"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0315" cy="3599815"/>
                        </a:xfrm>
                        <a:prstGeom prst="rect">
                          <a:avLst/>
                        </a:prstGeom>
                        <a:noFill/>
                        <a:ln w="9525">
                          <a:solidFill>
                            <a:srgbClr val="000000"/>
                          </a:solidFill>
                          <a:miter lim="800000"/>
                        </a:ln>
                      </wps:spPr>
                      <wps:txbx>
                        <w:txbxContent>
                          <w:p>
                            <w:pPr>
                              <w:spacing w:line="288" w:lineRule="auto"/>
                              <w:jc w:val="center"/>
                              <w:rPr>
                                <w:rFonts w:ascii="黑体" w:hAnsi="宋体" w:eastAsia="黑体" w:cs="宋体"/>
                                <w:b/>
                                <w:color w:val="000000"/>
                                <w:kern w:val="0"/>
                                <w:sz w:val="28"/>
                                <w:szCs w:val="28"/>
                              </w:rPr>
                            </w:pPr>
                          </w:p>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目</w:t>
                            </w:r>
                            <w:r>
                              <w:rPr>
                                <w:rFonts w:ascii="黑体" w:hAnsi="宋体" w:eastAsia="黑体" w:cs="宋体"/>
                                <w:b/>
                                <w:color w:val="000000"/>
                                <w:kern w:val="0"/>
                                <w:sz w:val="28"/>
                                <w:szCs w:val="28"/>
                              </w:rPr>
                              <w:t xml:space="preserve">  </w:t>
                            </w:r>
                            <w:r>
                              <w:rPr>
                                <w:rFonts w:hint="eastAsia" w:ascii="黑体" w:hAnsi="宋体" w:eastAsia="黑体" w:cs="宋体"/>
                                <w:b/>
                                <w:color w:val="000000"/>
                                <w:kern w:val="0"/>
                                <w:sz w:val="28"/>
                                <w:szCs w:val="28"/>
                              </w:rPr>
                              <w:t>录</w:t>
                            </w:r>
                          </w:p>
                          <w:p>
                            <w:pPr>
                              <w:spacing w:line="288" w:lineRule="auto"/>
                              <w:jc w:val="center"/>
                              <w:rPr>
                                <w:rFonts w:ascii="黑体" w:hAnsi="宋体" w:eastAsia="黑体" w:cs="宋体"/>
                                <w:b/>
                                <w:color w:val="000000"/>
                                <w:kern w:val="0"/>
                                <w:sz w:val="28"/>
                                <w:szCs w:val="28"/>
                              </w:rPr>
                            </w:pP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一、湖南财政经济学院班级成绩单</w:t>
                            </w: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二、湖南财政经济学院班级成绩分析单</w:t>
                            </w: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三、湖南财政经济学院学生平时成绩登记表及平时成绩原始评定依据</w:t>
                            </w:r>
                          </w:p>
                          <w:p>
                            <w:pPr>
                              <w:shd w:val="clear" w:color="auto" w:fill="FFFFFF"/>
                              <w:adjustRightInd w:val="0"/>
                              <w:snapToGrid w:val="0"/>
                              <w:spacing w:line="288" w:lineRule="auto"/>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35pt;margin-top:11.8pt;height:283.45pt;width:198.45pt;z-index:251664384;mso-width-relative:page;mso-height-relative:page;" filled="f" stroked="t" coordsize="21600,21600" o:gfxdata="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C8NEDX&#10;AAAACgEAAA8AAAAAAAAAAQAgAAAAIgAAAGRycy9kb3ducmV2LnhtbFBLAQIUABQAAAAIAIdO4kD7&#10;EjMqIQIAABEEAAAOAAAAAAAAAAEAIAAAACYBAABkcnMvZTJvRG9jLnhtbFBLBQYAAAAABgAGAFkB&#10;AAC5BQAAAAA=&#10;">
                <v:fill on="f" focussize="0,0"/>
                <v:stroke color="#000000" miterlimit="8" joinstyle="miter"/>
                <v:imagedata o:title=""/>
                <o:lock v:ext="edit" aspectratio="f"/>
                <v:textbox>
                  <w:txbxContent>
                    <w:p>
                      <w:pPr>
                        <w:spacing w:line="288" w:lineRule="auto"/>
                        <w:jc w:val="center"/>
                        <w:rPr>
                          <w:rFonts w:ascii="黑体" w:hAnsi="宋体" w:eastAsia="黑体" w:cs="宋体"/>
                          <w:b/>
                          <w:color w:val="000000"/>
                          <w:kern w:val="0"/>
                          <w:sz w:val="28"/>
                          <w:szCs w:val="28"/>
                        </w:rPr>
                      </w:pPr>
                    </w:p>
                    <w:p>
                      <w:pPr>
                        <w:spacing w:line="288"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目</w:t>
                      </w:r>
                      <w:r>
                        <w:rPr>
                          <w:rFonts w:ascii="黑体" w:hAnsi="宋体" w:eastAsia="黑体" w:cs="宋体"/>
                          <w:b/>
                          <w:color w:val="000000"/>
                          <w:kern w:val="0"/>
                          <w:sz w:val="28"/>
                          <w:szCs w:val="28"/>
                        </w:rPr>
                        <w:t xml:space="preserve">  </w:t>
                      </w:r>
                      <w:r>
                        <w:rPr>
                          <w:rFonts w:hint="eastAsia" w:ascii="黑体" w:hAnsi="宋体" w:eastAsia="黑体" w:cs="宋体"/>
                          <w:b/>
                          <w:color w:val="000000"/>
                          <w:kern w:val="0"/>
                          <w:sz w:val="28"/>
                          <w:szCs w:val="28"/>
                        </w:rPr>
                        <w:t>录</w:t>
                      </w:r>
                    </w:p>
                    <w:p>
                      <w:pPr>
                        <w:spacing w:line="288" w:lineRule="auto"/>
                        <w:jc w:val="center"/>
                        <w:rPr>
                          <w:rFonts w:ascii="黑体" w:hAnsi="宋体" w:eastAsia="黑体" w:cs="宋体"/>
                          <w:b/>
                          <w:color w:val="000000"/>
                          <w:kern w:val="0"/>
                          <w:sz w:val="28"/>
                          <w:szCs w:val="28"/>
                        </w:rPr>
                      </w:pP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一、湖南财政经济学院班级成绩单</w:t>
                      </w: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二、湖南财政经济学院班级成绩分析单</w:t>
                      </w:r>
                    </w:p>
                    <w:p>
                      <w:pPr>
                        <w:shd w:val="clear" w:color="auto" w:fill="FFFFFF"/>
                        <w:adjustRightInd w:val="0"/>
                        <w:snapToGrid w:val="0"/>
                        <w:spacing w:line="288" w:lineRule="auto"/>
                        <w:ind w:left="420" w:hanging="420" w:hangingChars="200"/>
                        <w:rPr>
                          <w:rFonts w:ascii="黑体" w:hAnsi="宋体" w:eastAsia="黑体" w:cs="宋体"/>
                          <w:color w:val="000000"/>
                          <w:kern w:val="0"/>
                          <w:szCs w:val="21"/>
                        </w:rPr>
                      </w:pPr>
                      <w:r>
                        <w:rPr>
                          <w:rFonts w:hint="eastAsia" w:ascii="黑体" w:hAnsi="宋体" w:eastAsia="黑体" w:cs="宋体"/>
                          <w:color w:val="000000"/>
                          <w:kern w:val="0"/>
                          <w:szCs w:val="21"/>
                        </w:rPr>
                        <w:t>三、湖南财政经济学院学生平时成绩登记表及平时成绩原始评定依据</w:t>
                      </w:r>
                    </w:p>
                    <w:p>
                      <w:pPr>
                        <w:shd w:val="clear" w:color="auto" w:fill="FFFFFF"/>
                        <w:adjustRightInd w:val="0"/>
                        <w:snapToGrid w:val="0"/>
                        <w:spacing w:line="288" w:lineRule="auto"/>
                      </w:pPr>
                    </w:p>
                  </w:txbxContent>
                </v:textbox>
              </v:shape>
            </w:pict>
          </mc:Fallback>
        </mc:AlternateContent>
      </w:r>
    </w:p>
    <w:p>
      <w:pPr>
        <w:spacing w:line="288" w:lineRule="auto"/>
        <w:jc w:val="center"/>
        <w:rPr>
          <w:b/>
          <w:color w:val="000000"/>
          <w:sz w:val="44"/>
          <w:szCs w:val="44"/>
        </w:rPr>
      </w:pPr>
      <w:r>
        <w:drawing>
          <wp:anchor distT="0" distB="0" distL="114300" distR="114300" simplePos="0" relativeHeight="251660288" behindDoc="0" locked="0" layoutInCell="1" allowOverlap="1">
            <wp:simplePos x="0" y="0"/>
            <wp:positionH relativeFrom="column">
              <wp:posOffset>342900</wp:posOffset>
            </wp:positionH>
            <wp:positionV relativeFrom="paragraph">
              <wp:posOffset>46990</wp:posOffset>
            </wp:positionV>
            <wp:extent cx="800100" cy="522605"/>
            <wp:effectExtent l="0" t="0" r="0" b="0"/>
            <wp:wrapNone/>
            <wp:docPr id="1" name="图片 1" descr="~404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45568"/>
                    <pic:cNvPicPr>
                      <a:picLocks noChangeAspect="1" noChangeArrowheads="1"/>
                    </pic:cNvPicPr>
                  </pic:nvPicPr>
                  <pic:blipFill>
                    <a:blip r:embed="rId5" cstate="print">
                      <a:extLst>
                        <a:ext uri="{28A0092B-C50C-407E-A947-70E740481C1C}">
                          <a14:useLocalDpi xmlns:a14="http://schemas.microsoft.com/office/drawing/2010/main" val="0"/>
                        </a:ext>
                      </a:extLst>
                    </a:blip>
                    <a:srcRect l="4964" t="20003" r="31929" b="20193"/>
                    <a:stretch>
                      <a:fillRect/>
                    </a:stretch>
                  </pic:blipFill>
                  <pic:spPr>
                    <a:xfrm>
                      <a:off x="0" y="0"/>
                      <a:ext cx="800100" cy="522605"/>
                    </a:xfrm>
                    <a:prstGeom prst="rect">
                      <a:avLst/>
                    </a:prstGeom>
                    <a:noFill/>
                    <a:ln>
                      <a:noFill/>
                    </a:ln>
                  </pic:spPr>
                </pic:pic>
              </a:graphicData>
            </a:graphic>
          </wp:anchor>
        </w:drawing>
      </w:r>
    </w:p>
    <w:p>
      <w:pPr>
        <w:spacing w:line="288" w:lineRule="auto"/>
        <w:jc w:val="center"/>
        <w:rPr>
          <w:b/>
          <w:color w:val="000000"/>
          <w:sz w:val="44"/>
          <w:szCs w:val="44"/>
        </w:rPr>
      </w:pPr>
    </w:p>
    <w:p>
      <w:pPr>
        <w:spacing w:line="288" w:lineRule="auto"/>
        <w:jc w:val="center"/>
        <w:rPr>
          <w:b/>
          <w:color w:val="000000"/>
          <w:sz w:val="44"/>
          <w:szCs w:val="44"/>
        </w:rPr>
      </w:pPr>
    </w:p>
    <w:p>
      <w:pPr>
        <w:spacing w:line="288" w:lineRule="auto"/>
        <w:jc w:val="center"/>
        <w:rPr>
          <w:rFonts w:ascii="楷体_GB2312" w:eastAsia="楷体_GB2312"/>
          <w:b/>
          <w:color w:val="000000"/>
          <w:sz w:val="44"/>
          <w:szCs w:val="44"/>
        </w:rPr>
      </w:pPr>
    </w:p>
    <w:p>
      <w:pPr>
        <w:spacing w:line="288" w:lineRule="auto"/>
        <w:jc w:val="center"/>
        <w:rPr>
          <w:rFonts w:ascii="楷体_GB2312" w:eastAsia="楷体_GB2312"/>
          <w:b/>
          <w:color w:val="000000"/>
          <w:sz w:val="44"/>
          <w:szCs w:val="44"/>
        </w:rPr>
      </w:pPr>
    </w:p>
    <w:p>
      <w:pPr>
        <w:spacing w:line="288" w:lineRule="auto"/>
        <w:jc w:val="center"/>
        <w:rPr>
          <w:rFonts w:ascii="楷体_GB2312" w:eastAsia="楷体_GB2312"/>
          <w:b/>
          <w:color w:val="000000"/>
          <w:sz w:val="44"/>
          <w:szCs w:val="44"/>
        </w:rPr>
      </w:pPr>
    </w:p>
    <w:p>
      <w:pPr>
        <w:spacing w:line="288" w:lineRule="auto"/>
        <w:jc w:val="center"/>
        <w:rPr>
          <w:rFonts w:ascii="楷体_GB2312" w:eastAsia="楷体_GB2312"/>
          <w:b/>
          <w:color w:val="000000"/>
          <w:sz w:val="44"/>
          <w:szCs w:val="44"/>
        </w:rPr>
      </w:pPr>
    </w:p>
    <w:p>
      <w:pPr>
        <w:spacing w:line="288" w:lineRule="auto"/>
        <w:jc w:val="center"/>
        <w:rPr>
          <w:rFonts w:ascii="楷体_GB2312" w:eastAsia="楷体_GB2312"/>
          <w:b/>
          <w:color w:val="000000"/>
          <w:sz w:val="44"/>
          <w:szCs w:val="44"/>
        </w:rPr>
      </w:pPr>
    </w:p>
    <w:p>
      <w:pPr>
        <w:spacing w:line="288" w:lineRule="auto"/>
        <w:rPr>
          <w:color w:val="000000"/>
          <w:sz w:val="18"/>
          <w:szCs w:val="21"/>
        </w:rPr>
      </w:pPr>
    </w:p>
    <w:p>
      <w:pPr>
        <w:spacing w:line="288" w:lineRule="auto"/>
        <w:rPr>
          <w:color w:val="000000"/>
          <w:sz w:val="18"/>
          <w:szCs w:val="21"/>
        </w:rPr>
      </w:pPr>
    </w:p>
    <w:p>
      <w:pPr>
        <w:spacing w:line="288" w:lineRule="auto"/>
        <w:rPr>
          <w:color w:val="000000"/>
          <w:sz w:val="18"/>
          <w:szCs w:val="21"/>
        </w:rPr>
      </w:pPr>
    </w:p>
    <w:p>
      <w:pPr>
        <w:spacing w:line="288" w:lineRule="auto"/>
        <w:rPr>
          <w:color w:val="000000"/>
          <w:sz w:val="18"/>
          <w:szCs w:val="21"/>
        </w:rPr>
      </w:pPr>
    </w:p>
    <w:p>
      <w:pPr>
        <w:spacing w:line="288" w:lineRule="auto"/>
        <w:rPr>
          <w:color w:val="000000"/>
          <w:sz w:val="18"/>
          <w:szCs w:val="21"/>
        </w:rPr>
      </w:pPr>
    </w:p>
    <w:p>
      <w:pPr>
        <w:rPr>
          <w:b/>
          <w:sz w:val="22"/>
          <w:szCs w:val="22"/>
        </w:rPr>
      </w:pPr>
      <w:r>
        <w:rPr>
          <w:sz w:val="18"/>
        </w:rPr>
        <w:br w:type="page"/>
      </w:r>
      <w:r>
        <w:rPr>
          <w:rFonts w:hint="eastAsia"/>
          <w:b/>
          <w:kern w:val="0"/>
        </w:rPr>
        <w:t>附件七：</w:t>
      </w:r>
      <w:r>
        <w:rPr>
          <w:b/>
          <w:sz w:val="22"/>
          <w:szCs w:val="22"/>
        </w:rPr>
        <w:t xml:space="preserve">                    </w:t>
      </w:r>
    </w:p>
    <w:p>
      <w:pPr>
        <w:spacing w:before="156" w:beforeLines="50" w:after="156" w:afterLines="50" w:line="288" w:lineRule="auto"/>
        <w:jc w:val="center"/>
        <w:rPr>
          <w:rFonts w:ascii="黑体" w:hAnsi="宋体" w:eastAsia="黑体"/>
          <w:b/>
          <w:color w:val="000000"/>
          <w:sz w:val="28"/>
          <w:szCs w:val="28"/>
        </w:rPr>
      </w:pPr>
      <w:r>
        <w:rPr>
          <w:rFonts w:hint="eastAsia" w:ascii="黑体" w:hAnsi="宋体" w:eastAsia="黑体"/>
          <w:b/>
          <w:color w:val="000000"/>
          <w:sz w:val="28"/>
          <w:szCs w:val="28"/>
        </w:rPr>
        <w:t>考场情况记录表</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337"/>
        <w:gridCol w:w="1667"/>
        <w:gridCol w:w="1502"/>
        <w:gridCol w:w="15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考试科目</w:t>
            </w:r>
          </w:p>
        </w:tc>
        <w:tc>
          <w:tcPr>
            <w:tcW w:w="300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考试日期</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考试教室</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应考人数</w:t>
            </w:r>
          </w:p>
        </w:tc>
        <w:tc>
          <w:tcPr>
            <w:tcW w:w="15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实考人数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4"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缺考学生</w:t>
            </w:r>
          </w:p>
          <w:p>
            <w:pPr>
              <w:spacing w:line="288" w:lineRule="auto"/>
              <w:jc w:val="center"/>
              <w:rPr>
                <w:rFonts w:ascii="宋体" w:hAnsi="宋体"/>
                <w:color w:val="000000"/>
                <w:sz w:val="18"/>
                <w:szCs w:val="18"/>
              </w:rPr>
            </w:pPr>
            <w:r>
              <w:rPr>
                <w:rFonts w:hint="eastAsia" w:ascii="宋体" w:hAnsi="宋体"/>
                <w:color w:val="000000"/>
                <w:sz w:val="18"/>
                <w:szCs w:val="18"/>
              </w:rPr>
              <w:t>姓名、学号</w:t>
            </w:r>
          </w:p>
        </w:tc>
        <w:tc>
          <w:tcPr>
            <w:tcW w:w="7142"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p>
          <w:p>
            <w:pPr>
              <w:spacing w:line="288" w:lineRule="auto"/>
              <w:rPr>
                <w:rFonts w:ascii="宋体" w:hAnsi="宋体"/>
                <w:color w:val="000000"/>
                <w:sz w:val="18"/>
                <w:szCs w:val="18"/>
              </w:rPr>
            </w:pPr>
          </w:p>
          <w:p>
            <w:pPr>
              <w:spacing w:line="288" w:lineRule="auto"/>
              <w:jc w:val="center"/>
              <w:rPr>
                <w:rFonts w:ascii="宋体" w:hAnsi="宋体"/>
                <w:color w:val="000000"/>
                <w:sz w:val="18"/>
                <w:szCs w:val="18"/>
              </w:rPr>
            </w:pPr>
          </w:p>
          <w:p>
            <w:pPr>
              <w:spacing w:line="288" w:lineRule="auto"/>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领取试卷</w:t>
            </w:r>
          </w:p>
        </w:tc>
        <w:tc>
          <w:tcPr>
            <w:tcW w:w="300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ind w:right="140"/>
              <w:jc w:val="right"/>
              <w:rPr>
                <w:rFonts w:ascii="宋体" w:hAnsi="宋体"/>
                <w:color w:val="000000"/>
                <w:sz w:val="18"/>
                <w:szCs w:val="18"/>
              </w:rPr>
            </w:pPr>
            <w:r>
              <w:rPr>
                <w:rFonts w:hint="eastAsia" w:ascii="宋体" w:hAnsi="宋体"/>
                <w:color w:val="000000"/>
                <w:sz w:val="18"/>
                <w:szCs w:val="18"/>
              </w:rPr>
              <w:t>份</w:t>
            </w:r>
          </w:p>
        </w:tc>
        <w:tc>
          <w:tcPr>
            <w:tcW w:w="15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收取答卷</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ind w:right="140"/>
              <w:jc w:val="right"/>
              <w:rPr>
                <w:rFonts w:ascii="宋体" w:hAnsi="宋体"/>
                <w:color w:val="000000"/>
                <w:sz w:val="18"/>
                <w:szCs w:val="18"/>
              </w:rPr>
            </w:pPr>
            <w:r>
              <w:rPr>
                <w:rFonts w:hint="eastAsia" w:ascii="宋体" w:hAnsi="宋体"/>
                <w:color w:val="000000"/>
                <w:sz w:val="18"/>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考场情况记录</w:t>
            </w:r>
          </w:p>
        </w:tc>
        <w:tc>
          <w:tcPr>
            <w:tcW w:w="7142"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000000"/>
                <w:sz w:val="18"/>
                <w:szCs w:val="18"/>
              </w:rPr>
            </w:pPr>
            <w:r>
              <w:rPr>
                <w:rFonts w:hint="eastAsia" w:ascii="宋体" w:hAnsi="宋体"/>
                <w:color w:val="000000"/>
                <w:sz w:val="18"/>
                <w:szCs w:val="18"/>
              </w:rPr>
              <w:t>监考老师签名</w:t>
            </w:r>
          </w:p>
        </w:tc>
        <w:tc>
          <w:tcPr>
            <w:tcW w:w="7142"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p>
            <w:pPr>
              <w:spacing w:line="288" w:lineRule="auto"/>
              <w:ind w:right="140"/>
              <w:jc w:val="center"/>
              <w:rPr>
                <w:rFonts w:ascii="宋体" w:hAnsi="宋体"/>
                <w:color w:val="00000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行楷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A0"/>
    <w:rsid w:val="00045FAB"/>
    <w:rsid w:val="00077D3A"/>
    <w:rsid w:val="000855B3"/>
    <w:rsid w:val="00087931"/>
    <w:rsid w:val="000F3E90"/>
    <w:rsid w:val="000F7920"/>
    <w:rsid w:val="00163A2E"/>
    <w:rsid w:val="001F1BD8"/>
    <w:rsid w:val="00200BD1"/>
    <w:rsid w:val="0022242E"/>
    <w:rsid w:val="00237E0D"/>
    <w:rsid w:val="002A407B"/>
    <w:rsid w:val="002F5DCD"/>
    <w:rsid w:val="00303329"/>
    <w:rsid w:val="003B2EF3"/>
    <w:rsid w:val="003D5F75"/>
    <w:rsid w:val="00460B42"/>
    <w:rsid w:val="004A27A0"/>
    <w:rsid w:val="004D018A"/>
    <w:rsid w:val="004D2231"/>
    <w:rsid w:val="004E11EB"/>
    <w:rsid w:val="005173A8"/>
    <w:rsid w:val="005374E1"/>
    <w:rsid w:val="00554BF7"/>
    <w:rsid w:val="005E2353"/>
    <w:rsid w:val="006061BA"/>
    <w:rsid w:val="006642EB"/>
    <w:rsid w:val="0069202E"/>
    <w:rsid w:val="006E21EB"/>
    <w:rsid w:val="006E5936"/>
    <w:rsid w:val="007224E7"/>
    <w:rsid w:val="007A7B01"/>
    <w:rsid w:val="008448AE"/>
    <w:rsid w:val="008828CC"/>
    <w:rsid w:val="008E3D98"/>
    <w:rsid w:val="00983875"/>
    <w:rsid w:val="00A84CB1"/>
    <w:rsid w:val="00AE783D"/>
    <w:rsid w:val="00B31C86"/>
    <w:rsid w:val="00BA70C3"/>
    <w:rsid w:val="00BD0D9E"/>
    <w:rsid w:val="00CE0790"/>
    <w:rsid w:val="00CE7673"/>
    <w:rsid w:val="00D35130"/>
    <w:rsid w:val="00DD3AF3"/>
    <w:rsid w:val="00E07AD1"/>
    <w:rsid w:val="00E45F09"/>
    <w:rsid w:val="00E5010C"/>
    <w:rsid w:val="00EB1B1D"/>
    <w:rsid w:val="00EE549A"/>
    <w:rsid w:val="00EE72FF"/>
    <w:rsid w:val="00EF48D2"/>
    <w:rsid w:val="00EF4C5E"/>
    <w:rsid w:val="00F607B8"/>
    <w:rsid w:val="00FC77F7"/>
    <w:rsid w:val="286C0B47"/>
    <w:rsid w:val="29261DA3"/>
    <w:rsid w:val="3B28596B"/>
    <w:rsid w:val="43CE2C79"/>
    <w:rsid w:val="6D62676D"/>
    <w:rsid w:val="7876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rFonts w:ascii="Calibri" w:hAnsi="Calibri" w:eastAsia="宋体" w:cs="Times New Roman"/>
      <w:sz w:val="18"/>
      <w:szCs w:val="18"/>
    </w:rPr>
  </w:style>
  <w:style w:type="character" w:customStyle="1" w:styleId="9">
    <w:name w:val="页眉 Char"/>
    <w:basedOn w:val="5"/>
    <w:link w:val="4"/>
    <w:qFormat/>
    <w:uiPriority w:val="99"/>
    <w:rPr>
      <w:rFonts w:ascii="Calibri" w:hAnsi="Calibri" w:eastAsia="宋体" w:cs="Times New Roman"/>
      <w:sz w:val="18"/>
      <w:szCs w:val="18"/>
    </w:rPr>
  </w:style>
  <w:style w:type="character" w:customStyle="1" w:styleId="10">
    <w:name w:val="页脚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1537</Words>
  <Characters>8761</Characters>
  <Lines>73</Lines>
  <Paragraphs>20</Paragraphs>
  <TotalTime>3</TotalTime>
  <ScaleCrop>false</ScaleCrop>
  <LinksUpToDate>false</LinksUpToDate>
  <CharactersWithSpaces>10278</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2018-12-10T00:39:00Z</dcterms:created>
  <dc:creator>xiang zhanhong</dc:creator>
  <cp:lastModifiedBy>刘征</cp:lastModifiedBy>
  <cp:lastPrinted>2018-12-25T09:56:00Z</cp:lastPrinted>
  <dcterms:modified xsi:type="dcterms:W3CDTF">2018-12-26T03:36:55Z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