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89" w:rsidRDefault="003C0489">
      <w:pPr>
        <w:pStyle w:val="Default"/>
        <w:jc w:val="center"/>
        <w:rPr>
          <w:sz w:val="56"/>
          <w:szCs w:val="56"/>
        </w:rPr>
      </w:pPr>
    </w:p>
    <w:p w:rsidR="003C0489" w:rsidRDefault="003C0489">
      <w:pPr>
        <w:pStyle w:val="Default"/>
        <w:jc w:val="center"/>
        <w:rPr>
          <w:sz w:val="56"/>
          <w:szCs w:val="56"/>
        </w:rPr>
      </w:pPr>
    </w:p>
    <w:p w:rsidR="003C0489" w:rsidRDefault="003C0489">
      <w:pPr>
        <w:pStyle w:val="Default"/>
        <w:jc w:val="center"/>
        <w:rPr>
          <w:sz w:val="84"/>
          <w:szCs w:val="84"/>
        </w:rPr>
      </w:pPr>
    </w:p>
    <w:p w:rsidR="003C0489" w:rsidRDefault="003C0489">
      <w:pPr>
        <w:pStyle w:val="Default"/>
        <w:jc w:val="center"/>
        <w:rPr>
          <w:sz w:val="84"/>
          <w:szCs w:val="84"/>
        </w:rPr>
      </w:pPr>
    </w:p>
    <w:p w:rsidR="003C0489" w:rsidRDefault="0067602F">
      <w:pPr>
        <w:pStyle w:val="Default"/>
        <w:jc w:val="center"/>
        <w:rPr>
          <w:sz w:val="84"/>
          <w:szCs w:val="84"/>
        </w:rPr>
      </w:pPr>
      <w:r>
        <w:rPr>
          <w:rFonts w:hint="eastAsia"/>
          <w:sz w:val="84"/>
          <w:szCs w:val="84"/>
        </w:rPr>
        <w:t>2020年度</w:t>
      </w:r>
      <w:bookmarkStart w:id="0" w:name="_GoBack"/>
      <w:bookmarkEnd w:id="0"/>
    </w:p>
    <w:p w:rsidR="003C0489" w:rsidRDefault="00987BAB">
      <w:pPr>
        <w:pStyle w:val="Default"/>
        <w:jc w:val="center"/>
        <w:rPr>
          <w:sz w:val="84"/>
          <w:szCs w:val="84"/>
        </w:rPr>
      </w:pPr>
      <w:r>
        <w:rPr>
          <w:rFonts w:hint="eastAsia"/>
          <w:sz w:val="84"/>
          <w:szCs w:val="84"/>
        </w:rPr>
        <w:t>湖南财政经济学院</w:t>
      </w:r>
      <w:r w:rsidR="0067602F">
        <w:rPr>
          <w:rFonts w:hint="eastAsia"/>
          <w:sz w:val="84"/>
          <w:szCs w:val="84"/>
        </w:rPr>
        <w:t>决算</w:t>
      </w:r>
    </w:p>
    <w:p w:rsidR="003C0489" w:rsidRDefault="003C0489">
      <w:pPr>
        <w:pStyle w:val="Default"/>
        <w:jc w:val="center"/>
        <w:rPr>
          <w:sz w:val="56"/>
          <w:szCs w:val="56"/>
        </w:rPr>
      </w:pPr>
    </w:p>
    <w:p w:rsidR="003C0489" w:rsidRDefault="003C0489">
      <w:pPr>
        <w:pStyle w:val="Default"/>
        <w:jc w:val="center"/>
        <w:rPr>
          <w:sz w:val="56"/>
          <w:szCs w:val="56"/>
        </w:rPr>
      </w:pPr>
    </w:p>
    <w:p w:rsidR="000F7F03" w:rsidRDefault="000F7F03">
      <w:pPr>
        <w:pStyle w:val="Default"/>
        <w:spacing w:line="500" w:lineRule="exact"/>
        <w:jc w:val="center"/>
        <w:rPr>
          <w:sz w:val="32"/>
          <w:szCs w:val="32"/>
        </w:rPr>
      </w:pPr>
    </w:p>
    <w:p w:rsidR="000F7F03" w:rsidRDefault="000F7F03">
      <w:pPr>
        <w:pStyle w:val="Default"/>
        <w:spacing w:line="500" w:lineRule="exact"/>
        <w:jc w:val="center"/>
        <w:rPr>
          <w:sz w:val="32"/>
          <w:szCs w:val="32"/>
        </w:rPr>
      </w:pPr>
    </w:p>
    <w:p w:rsidR="000F7F03" w:rsidRDefault="000F7F03">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F16204" w:rsidRDefault="00F16204">
      <w:pPr>
        <w:pStyle w:val="Default"/>
        <w:spacing w:line="500" w:lineRule="exact"/>
        <w:jc w:val="center"/>
        <w:rPr>
          <w:sz w:val="32"/>
          <w:szCs w:val="32"/>
        </w:rPr>
      </w:pPr>
    </w:p>
    <w:p w:rsidR="003C0489" w:rsidRDefault="0067602F">
      <w:pPr>
        <w:pStyle w:val="Default"/>
        <w:spacing w:line="500" w:lineRule="exact"/>
        <w:jc w:val="center"/>
        <w:rPr>
          <w:b/>
          <w:sz w:val="36"/>
          <w:szCs w:val="28"/>
        </w:rPr>
      </w:pPr>
      <w:r>
        <w:rPr>
          <w:rFonts w:hint="eastAsia"/>
          <w:b/>
          <w:sz w:val="36"/>
          <w:szCs w:val="28"/>
        </w:rPr>
        <w:lastRenderedPageBreak/>
        <w:t>目录</w:t>
      </w:r>
    </w:p>
    <w:p w:rsidR="00062CA0" w:rsidRDefault="00062CA0">
      <w:pPr>
        <w:pStyle w:val="Default"/>
        <w:spacing w:line="500" w:lineRule="exact"/>
        <w:jc w:val="center"/>
        <w:rPr>
          <w:b/>
          <w:sz w:val="36"/>
          <w:szCs w:val="28"/>
        </w:rPr>
      </w:pPr>
    </w:p>
    <w:p w:rsidR="003C0489" w:rsidRDefault="0067602F">
      <w:pPr>
        <w:pStyle w:val="Default"/>
        <w:spacing w:line="500" w:lineRule="exact"/>
        <w:rPr>
          <w:rFonts w:ascii="仿宋_GB2312" w:hAnsi="仿宋_GB2312" w:cs="仿宋_GB2312"/>
          <w:b/>
          <w:sz w:val="28"/>
          <w:szCs w:val="28"/>
        </w:rPr>
      </w:pPr>
      <w:r>
        <w:rPr>
          <w:rFonts w:hint="eastAsia"/>
          <w:b/>
          <w:sz w:val="28"/>
          <w:szCs w:val="28"/>
        </w:rPr>
        <w:t>第一部分</w:t>
      </w:r>
      <w:r w:rsidR="00987BAB">
        <w:rPr>
          <w:rFonts w:hint="eastAsia"/>
          <w:b/>
          <w:sz w:val="28"/>
          <w:szCs w:val="28"/>
        </w:rPr>
        <w:t>湖南财政经济学院</w:t>
      </w:r>
      <w:r>
        <w:rPr>
          <w:rFonts w:hint="eastAsia"/>
          <w:b/>
          <w:sz w:val="28"/>
          <w:szCs w:val="28"/>
        </w:rPr>
        <w:t>概况</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3C0489" w:rsidRDefault="0067602F">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20年度部门决算表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EE26C5" w:rsidRDefault="00EE26C5">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3C0489" w:rsidRDefault="0067602F" w:rsidP="0036111A">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20年度部门决算情况说明</w:t>
      </w:r>
    </w:p>
    <w:p w:rsidR="003C0489" w:rsidRDefault="0067602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3C0489" w:rsidRDefault="0067602F">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941668" w:rsidRDefault="0067602F" w:rsidP="00C52C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sidR="00941668">
        <w:rPr>
          <w:rFonts w:ascii="仿宋_GB2312" w:hAnsi="仿宋_GB2312" w:cs="仿宋_GB2312"/>
          <w:color w:val="000000"/>
          <w:kern w:val="0"/>
          <w:sz w:val="28"/>
          <w:szCs w:val="28"/>
        </w:rPr>
        <w:t>机关运行经费支出说明</w:t>
      </w:r>
    </w:p>
    <w:p w:rsidR="003C0489" w:rsidRDefault="00941668" w:rsidP="00C52C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sidR="0067602F">
        <w:rPr>
          <w:rFonts w:ascii="仿宋_GB2312" w:hAnsi="仿宋_GB2312" w:cs="仿宋_GB2312" w:hint="eastAsia"/>
          <w:color w:val="000000"/>
          <w:kern w:val="0"/>
          <w:sz w:val="28"/>
          <w:szCs w:val="28"/>
        </w:rPr>
        <w:t>一般性支出情况</w:t>
      </w:r>
    </w:p>
    <w:p w:rsidR="003C0489" w:rsidRDefault="0067602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sidR="00941668">
        <w:rPr>
          <w:rFonts w:ascii="仿宋_GB2312" w:hAnsi="仿宋_GB2312" w:cs="仿宋_GB2312" w:hint="eastAsia"/>
          <w:color w:val="000000"/>
          <w:kern w:val="0"/>
          <w:sz w:val="28"/>
          <w:szCs w:val="28"/>
        </w:rPr>
        <w:t>一</w:t>
      </w:r>
      <w:r>
        <w:rPr>
          <w:rFonts w:ascii="仿宋_GB2312" w:hAnsi="仿宋_GB2312" w:cs="仿宋_GB2312" w:hint="eastAsia"/>
          <w:color w:val="000000"/>
          <w:kern w:val="0"/>
          <w:sz w:val="28"/>
          <w:szCs w:val="28"/>
        </w:rPr>
        <w:t>、关于政府采购支出说明</w:t>
      </w:r>
    </w:p>
    <w:p w:rsidR="003C0489" w:rsidRDefault="0067602F">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w:t>
      </w:r>
      <w:r w:rsidR="00941668">
        <w:rPr>
          <w:rFonts w:ascii="仿宋_GB2312" w:eastAsiaTheme="minorEastAsia" w:hAnsi="仿宋_GB2312" w:cs="仿宋_GB2312" w:hint="eastAsia"/>
          <w:sz w:val="28"/>
          <w:szCs w:val="28"/>
        </w:rPr>
        <w:t>二</w:t>
      </w:r>
      <w:r>
        <w:rPr>
          <w:rFonts w:ascii="仿宋_GB2312" w:eastAsiaTheme="minorEastAsia" w:hAnsi="仿宋_GB2312" w:cs="仿宋_GB2312" w:hint="eastAsia"/>
          <w:sz w:val="28"/>
          <w:szCs w:val="28"/>
        </w:rPr>
        <w:t>、关于国有资产占用情况说明</w:t>
      </w:r>
    </w:p>
    <w:p w:rsidR="003C0489" w:rsidRDefault="00941668">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w:t>
      </w:r>
      <w:r w:rsidR="0067602F">
        <w:rPr>
          <w:rFonts w:ascii="仿宋_GB2312" w:eastAsiaTheme="minorEastAsia" w:hAnsi="仿宋_GB2312" w:cs="仿宋_GB2312" w:hint="eastAsia"/>
          <w:sz w:val="28"/>
          <w:szCs w:val="28"/>
        </w:rPr>
        <w:t>、关</w:t>
      </w:r>
      <w:r w:rsidR="0067602F">
        <w:rPr>
          <w:rFonts w:asciiTheme="minorEastAsia" w:eastAsiaTheme="minorEastAsia" w:hAnsiTheme="minorEastAsia" w:cs="仿宋_GB2312" w:hint="eastAsia"/>
          <w:sz w:val="28"/>
          <w:szCs w:val="28"/>
        </w:rPr>
        <w:t>于2020年</w:t>
      </w:r>
      <w:r w:rsidR="0067602F">
        <w:rPr>
          <w:rFonts w:ascii="仿宋_GB2312" w:eastAsiaTheme="minorEastAsia" w:hAnsi="仿宋_GB2312" w:cs="仿宋_GB2312" w:hint="eastAsia"/>
          <w:sz w:val="28"/>
          <w:szCs w:val="28"/>
        </w:rPr>
        <w:t>度预算绩效情况的说明</w:t>
      </w:r>
    </w:p>
    <w:p w:rsidR="00F16204" w:rsidRDefault="0067602F" w:rsidP="0036111A">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36111A" w:rsidRPr="0036111A" w:rsidRDefault="00884CC5" w:rsidP="0036111A">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lastRenderedPageBreak/>
        <w:t>第五部分附件</w:t>
      </w:r>
    </w:p>
    <w:p w:rsidR="00C52C31" w:rsidRDefault="00C52C31" w:rsidP="00F16204">
      <w:pPr>
        <w:pStyle w:val="Default"/>
        <w:jc w:val="center"/>
        <w:rPr>
          <w:sz w:val="52"/>
          <w:szCs w:val="52"/>
        </w:rPr>
      </w:pPr>
    </w:p>
    <w:p w:rsidR="003C0489" w:rsidRPr="00F2717B" w:rsidRDefault="0067602F" w:rsidP="006D3EDD">
      <w:pPr>
        <w:pStyle w:val="Default"/>
        <w:spacing w:afterLines="100"/>
        <w:jc w:val="center"/>
        <w:rPr>
          <w:sz w:val="44"/>
          <w:szCs w:val="44"/>
        </w:rPr>
      </w:pPr>
      <w:r w:rsidRPr="00F2717B">
        <w:rPr>
          <w:rFonts w:hint="eastAsia"/>
          <w:sz w:val="44"/>
          <w:szCs w:val="44"/>
        </w:rPr>
        <w:t>第一部分</w:t>
      </w:r>
      <w:r w:rsidR="00F2717B" w:rsidRPr="00F2717B">
        <w:rPr>
          <w:rFonts w:hint="eastAsia"/>
          <w:sz w:val="44"/>
          <w:szCs w:val="44"/>
        </w:rPr>
        <w:t xml:space="preserve">  </w:t>
      </w:r>
      <w:r w:rsidR="00330341" w:rsidRPr="00F2717B">
        <w:rPr>
          <w:rFonts w:hint="eastAsia"/>
          <w:sz w:val="44"/>
          <w:szCs w:val="44"/>
        </w:rPr>
        <w:t>湖南财政经济学院</w:t>
      </w:r>
      <w:r w:rsidRPr="00F2717B">
        <w:rPr>
          <w:rFonts w:hint="eastAsia"/>
          <w:sz w:val="44"/>
          <w:szCs w:val="44"/>
        </w:rPr>
        <w:t>概况</w:t>
      </w:r>
    </w:p>
    <w:p w:rsidR="003C0489" w:rsidRDefault="008E7C46">
      <w:pPr>
        <w:pStyle w:val="a6"/>
        <w:numPr>
          <w:ilvl w:val="0"/>
          <w:numId w:val="1"/>
        </w:numPr>
        <w:ind w:firstLineChars="0"/>
        <w:jc w:val="left"/>
        <w:rPr>
          <w:rFonts w:ascii="黑体" w:eastAsia="黑体" w:hAnsi="黑体"/>
          <w:sz w:val="32"/>
          <w:szCs w:val="32"/>
        </w:rPr>
      </w:pPr>
      <w:r>
        <w:rPr>
          <w:rFonts w:ascii="黑体" w:eastAsia="黑体" w:hAnsi="黑体"/>
          <w:sz w:val="32"/>
          <w:szCs w:val="32"/>
        </w:rPr>
        <w:t>学校</w:t>
      </w:r>
      <w:r w:rsidR="0067602F">
        <w:rPr>
          <w:rFonts w:ascii="黑体" w:eastAsia="黑体" w:hAnsi="黑体"/>
          <w:sz w:val="32"/>
          <w:szCs w:val="32"/>
        </w:rPr>
        <w:t>职责</w:t>
      </w:r>
    </w:p>
    <w:p w:rsidR="00BA2612" w:rsidRPr="00BA2612" w:rsidRDefault="00BA2612" w:rsidP="00BA2612">
      <w:pPr>
        <w:widowControl/>
        <w:adjustRightInd w:val="0"/>
        <w:snapToGrid w:val="0"/>
        <w:spacing w:line="360" w:lineRule="auto"/>
        <w:ind w:firstLineChars="200" w:firstLine="640"/>
        <w:jc w:val="left"/>
        <w:rPr>
          <w:rFonts w:ascii="宋体" w:eastAsia="宋体" w:hAnsi="宋体" w:cs="Times New Roman"/>
          <w:bCs/>
          <w:kern w:val="0"/>
          <w:sz w:val="32"/>
          <w:szCs w:val="32"/>
        </w:rPr>
      </w:pPr>
      <w:r w:rsidRPr="00BA2612">
        <w:rPr>
          <w:rFonts w:ascii="宋体" w:eastAsia="宋体" w:hAnsi="宋体" w:cs="Times New Roman" w:hint="eastAsia"/>
          <w:bCs/>
          <w:kern w:val="0"/>
          <w:sz w:val="32"/>
          <w:szCs w:val="32"/>
        </w:rPr>
        <w:t>湖南财政经济学院是由湖南省人民政府主办、湖南省教育厅主管、湖南省财政厅协管的全日制财经类本科院校。学校源于1933年创办的“私立厚生会计讲习所”，后校名历经多次变革，2010年3月升格为本科院校；2020年7月，学校调入湖南省本科一批录取。</w:t>
      </w:r>
    </w:p>
    <w:p w:rsidR="00BA2612" w:rsidRPr="00BA2612" w:rsidRDefault="00BA2612" w:rsidP="00BA2612">
      <w:pPr>
        <w:widowControl/>
        <w:adjustRightInd w:val="0"/>
        <w:snapToGrid w:val="0"/>
        <w:spacing w:line="360" w:lineRule="auto"/>
        <w:ind w:firstLineChars="200" w:firstLine="640"/>
        <w:jc w:val="left"/>
        <w:rPr>
          <w:rFonts w:ascii="宋体" w:eastAsia="宋体" w:hAnsi="宋体" w:cs="Times New Roman"/>
          <w:bCs/>
          <w:kern w:val="0"/>
          <w:sz w:val="32"/>
          <w:szCs w:val="32"/>
        </w:rPr>
      </w:pPr>
      <w:r w:rsidRPr="00BA2612">
        <w:rPr>
          <w:rFonts w:ascii="宋体" w:eastAsia="宋体" w:hAnsi="宋体" w:cs="Times New Roman" w:hint="eastAsia"/>
          <w:bCs/>
          <w:kern w:val="0"/>
          <w:sz w:val="32"/>
          <w:szCs w:val="32"/>
        </w:rPr>
        <w:t>学校以财经教育为特色，以应用型人才培养为主要方向，发展定位为财经特色鲜明的应用型一流本科大学；办学层次为以普通全日制本科学历教育为主，大力开展留学生教育，合作开展研究生教育。现有14个二级院所，以管理学、经济学为主，学科专业涵盖7大门类；开设有41个本科专业，以财经类专业为主，其他专业也突出财经特色</w:t>
      </w:r>
      <w:r>
        <w:rPr>
          <w:rFonts w:asciiTheme="minorEastAsia" w:hAnsiTheme="minorEastAsia" w:hint="eastAsia"/>
          <w:bCs/>
          <w:kern w:val="0"/>
          <w:sz w:val="32"/>
          <w:szCs w:val="32"/>
        </w:rPr>
        <w:t>；</w:t>
      </w:r>
      <w:r w:rsidRPr="00BA2612">
        <w:rPr>
          <w:rFonts w:ascii="宋体" w:eastAsia="宋体" w:hAnsi="宋体" w:cs="Times New Roman" w:hint="eastAsia"/>
          <w:bCs/>
          <w:kern w:val="0"/>
          <w:sz w:val="32"/>
          <w:szCs w:val="32"/>
        </w:rPr>
        <w:t>与湘潭大学、湖南师范大学签署了战略合作框架协议，合作培养研究生。</w:t>
      </w:r>
    </w:p>
    <w:p w:rsidR="00BA2612" w:rsidRPr="00BA2612" w:rsidRDefault="00BA2612" w:rsidP="00BA2612">
      <w:pPr>
        <w:widowControl/>
        <w:adjustRightInd w:val="0"/>
        <w:snapToGrid w:val="0"/>
        <w:spacing w:line="360" w:lineRule="auto"/>
        <w:ind w:firstLineChars="200" w:firstLine="640"/>
        <w:jc w:val="left"/>
        <w:rPr>
          <w:rFonts w:ascii="宋体" w:eastAsia="宋体" w:hAnsi="宋体" w:cs="Times New Roman"/>
          <w:bCs/>
          <w:kern w:val="0"/>
          <w:sz w:val="32"/>
          <w:szCs w:val="32"/>
        </w:rPr>
      </w:pPr>
      <w:r w:rsidRPr="00BA2612">
        <w:rPr>
          <w:rFonts w:ascii="宋体" w:eastAsia="宋体" w:hAnsi="宋体" w:cs="Times New Roman" w:hint="eastAsia"/>
          <w:bCs/>
          <w:kern w:val="0"/>
          <w:sz w:val="32"/>
          <w:szCs w:val="32"/>
        </w:rPr>
        <w:t>学校与41所国（境）外知名院校和教育机构签订友好合作协议，全面开展师生出国出境访学、研修、培训、联合培养、交换等合作项目；开设有教育部批准的中外合作办学本科教育项目1个，并招收语言进修和学历教育国际学生。</w:t>
      </w:r>
    </w:p>
    <w:p w:rsidR="00BA2612" w:rsidRPr="00BA2612" w:rsidRDefault="00BA2612" w:rsidP="00BA2612">
      <w:pPr>
        <w:widowControl/>
        <w:adjustRightInd w:val="0"/>
        <w:snapToGrid w:val="0"/>
        <w:spacing w:line="360" w:lineRule="auto"/>
        <w:ind w:firstLineChars="200" w:firstLine="640"/>
        <w:jc w:val="left"/>
        <w:rPr>
          <w:rFonts w:ascii="宋体" w:eastAsia="宋体" w:hAnsi="宋体" w:cs="Times New Roman"/>
          <w:bCs/>
          <w:kern w:val="0"/>
          <w:sz w:val="32"/>
          <w:szCs w:val="32"/>
        </w:rPr>
      </w:pPr>
      <w:r w:rsidRPr="00BA2612">
        <w:rPr>
          <w:rFonts w:ascii="宋体" w:eastAsia="宋体" w:hAnsi="宋体" w:cs="Times New Roman" w:hint="eastAsia"/>
          <w:bCs/>
          <w:kern w:val="0"/>
          <w:sz w:val="32"/>
          <w:szCs w:val="32"/>
        </w:rPr>
        <w:t>学校始终突出教学中心地位，着力于培养基础扎实、创新意识和实践能力较强、德智体美劳全面发展的高素质应用型人才</w:t>
      </w:r>
      <w:r>
        <w:rPr>
          <w:rFonts w:asciiTheme="minorEastAsia" w:hAnsiTheme="minorEastAsia" w:hint="eastAsia"/>
          <w:bCs/>
          <w:kern w:val="0"/>
          <w:sz w:val="32"/>
          <w:szCs w:val="32"/>
        </w:rPr>
        <w:t>；</w:t>
      </w:r>
      <w:r w:rsidRPr="00BA2612">
        <w:rPr>
          <w:rFonts w:ascii="宋体" w:eastAsia="宋体" w:hAnsi="宋体" w:cs="Times New Roman" w:hint="eastAsia"/>
          <w:bCs/>
          <w:kern w:val="0"/>
          <w:sz w:val="32"/>
          <w:szCs w:val="32"/>
        </w:rPr>
        <w:t>开办有“厚生班”、海内外名师双语课程等</w:t>
      </w:r>
      <w:r>
        <w:rPr>
          <w:rFonts w:asciiTheme="minorEastAsia" w:hAnsiTheme="minorEastAsia" w:hint="eastAsia"/>
          <w:bCs/>
          <w:kern w:val="0"/>
          <w:sz w:val="32"/>
          <w:szCs w:val="32"/>
        </w:rPr>
        <w:t>；</w:t>
      </w:r>
      <w:r w:rsidRPr="00BA2612">
        <w:rPr>
          <w:rFonts w:ascii="宋体" w:eastAsia="宋体" w:hAnsi="宋体" w:cs="Times New Roman" w:hint="eastAsia"/>
          <w:bCs/>
          <w:kern w:val="0"/>
          <w:sz w:val="32"/>
          <w:szCs w:val="32"/>
        </w:rPr>
        <w:t>创新创业、实习实践以及校园文化活动十分丰富。</w:t>
      </w:r>
    </w:p>
    <w:p w:rsidR="003C0489" w:rsidRPr="00BA2612" w:rsidRDefault="00BA2612" w:rsidP="00BA2612">
      <w:pPr>
        <w:snapToGrid w:val="0"/>
        <w:spacing w:line="360" w:lineRule="auto"/>
        <w:ind w:firstLineChars="200" w:firstLine="640"/>
        <w:rPr>
          <w:rFonts w:asciiTheme="minorEastAsia" w:hAnsiTheme="minorEastAsia"/>
          <w:bCs/>
          <w:kern w:val="0"/>
          <w:sz w:val="32"/>
          <w:szCs w:val="32"/>
        </w:rPr>
      </w:pPr>
      <w:r w:rsidRPr="00BA2612">
        <w:rPr>
          <w:rFonts w:ascii="宋体" w:eastAsia="宋体" w:hAnsi="宋体" w:cs="Times New Roman" w:hint="eastAsia"/>
          <w:bCs/>
          <w:kern w:val="0"/>
          <w:sz w:val="32"/>
          <w:szCs w:val="32"/>
        </w:rPr>
        <w:t>学校始终秉承“正德、厚生、经世、济用”之校训，不断推进内涵式发展和特色发展，强力打造优势突出、特色鲜明、在省内外有较高知名度的财经类一流本科院校，致力于建成具有一定影响力的财经类大学。</w:t>
      </w:r>
    </w:p>
    <w:p w:rsidR="003C0489" w:rsidRDefault="0067602F" w:rsidP="00F16204">
      <w:pPr>
        <w:widowControl/>
        <w:spacing w:line="600" w:lineRule="exact"/>
        <w:ind w:firstLineChars="250" w:firstLine="800"/>
        <w:rPr>
          <w:rFonts w:ascii="黑体" w:eastAsia="黑体" w:hAnsi="黑体"/>
          <w:bCs/>
          <w:kern w:val="0"/>
          <w:sz w:val="32"/>
          <w:szCs w:val="32"/>
        </w:rPr>
      </w:pPr>
      <w:r>
        <w:rPr>
          <w:rFonts w:ascii="黑体" w:eastAsia="黑体" w:hAnsi="黑体" w:hint="eastAsia"/>
          <w:bCs/>
          <w:kern w:val="0"/>
          <w:sz w:val="32"/>
          <w:szCs w:val="32"/>
        </w:rPr>
        <w:lastRenderedPageBreak/>
        <w:t>二、机构设置及决算单位构成</w:t>
      </w:r>
    </w:p>
    <w:p w:rsidR="003C0489" w:rsidRDefault="0067602F" w:rsidP="00F16204">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（一）内设机构设置。内设机构包括：</w:t>
      </w:r>
    </w:p>
    <w:p w:rsidR="006F3381" w:rsidRPr="006F3381" w:rsidRDefault="006F3381" w:rsidP="006F3381">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 xml:space="preserve">     1、教学单位：财政金融学院、会计学院、工商管理学院、经济学院、</w:t>
      </w:r>
      <w:r w:rsidR="000C6A91">
        <w:rPr>
          <w:rFonts w:asciiTheme="minorEastAsia" w:hAnsiTheme="minorEastAsia" w:hint="eastAsia"/>
          <w:bCs/>
          <w:kern w:val="0"/>
          <w:sz w:val="32"/>
          <w:szCs w:val="32"/>
        </w:rPr>
        <w:t>法学与</w:t>
      </w:r>
      <w:r w:rsidRPr="006F3381">
        <w:rPr>
          <w:rFonts w:asciiTheme="minorEastAsia" w:hAnsiTheme="minorEastAsia" w:hint="eastAsia"/>
          <w:bCs/>
          <w:kern w:val="0"/>
          <w:sz w:val="32"/>
          <w:szCs w:val="32"/>
        </w:rPr>
        <w:t>公共管理学院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外国语学院</w:t>
      </w:r>
      <w:r>
        <w:rPr>
          <w:rFonts w:asciiTheme="minorEastAsia" w:hAnsiTheme="minorEastAsia" w:hint="eastAsia"/>
          <w:bCs/>
          <w:kern w:val="0"/>
          <w:sz w:val="32"/>
          <w:szCs w:val="32"/>
        </w:rPr>
        <w:t>、</w:t>
      </w:r>
    </w:p>
    <w:p w:rsidR="006F3381" w:rsidRDefault="006F3381" w:rsidP="006F3381">
      <w:pPr>
        <w:widowControl/>
        <w:spacing w:line="600" w:lineRule="exact"/>
        <w:rPr>
          <w:rFonts w:asciiTheme="minorEastAsia" w:hAnsiTheme="minorEastAsia"/>
          <w:bCs/>
          <w:kern w:val="0"/>
          <w:sz w:val="32"/>
          <w:szCs w:val="32"/>
        </w:rPr>
      </w:pPr>
      <w:r w:rsidRPr="006F3381">
        <w:rPr>
          <w:rFonts w:asciiTheme="minorEastAsia" w:hAnsiTheme="minorEastAsia" w:hint="eastAsia"/>
          <w:bCs/>
          <w:kern w:val="0"/>
          <w:sz w:val="32"/>
          <w:szCs w:val="32"/>
        </w:rPr>
        <w:t>信息技术与管理学院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工程管理学院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人文与艺术学院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马克思主义学院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数学与统计学院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体育学院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厚生国际教育学院</w:t>
      </w:r>
      <w:r>
        <w:rPr>
          <w:rFonts w:asciiTheme="minorEastAsia" w:hAnsiTheme="minorEastAsia" w:hint="eastAsia"/>
          <w:bCs/>
          <w:kern w:val="0"/>
          <w:sz w:val="32"/>
          <w:szCs w:val="32"/>
        </w:rPr>
        <w:t>、</w:t>
      </w:r>
      <w:r w:rsidRPr="006F3381">
        <w:rPr>
          <w:rFonts w:asciiTheme="minorEastAsia" w:hAnsiTheme="minorEastAsia" w:hint="eastAsia"/>
          <w:bCs/>
          <w:kern w:val="0"/>
          <w:sz w:val="32"/>
          <w:szCs w:val="32"/>
        </w:rPr>
        <w:t>继续教育学院</w:t>
      </w:r>
      <w:r w:rsidR="000C6A91">
        <w:rPr>
          <w:rFonts w:asciiTheme="minorEastAsia" w:hAnsiTheme="minorEastAsia" w:hint="eastAsia"/>
          <w:bCs/>
          <w:kern w:val="0"/>
          <w:sz w:val="32"/>
          <w:szCs w:val="32"/>
        </w:rPr>
        <w:t>、雷锋学院</w:t>
      </w:r>
      <w:r>
        <w:rPr>
          <w:rFonts w:asciiTheme="minorEastAsia" w:hAnsiTheme="minorEastAsia" w:hint="eastAsia"/>
          <w:bCs/>
          <w:kern w:val="0"/>
          <w:sz w:val="32"/>
          <w:szCs w:val="32"/>
        </w:rPr>
        <w:t>。</w:t>
      </w:r>
    </w:p>
    <w:p w:rsidR="006F3381" w:rsidRDefault="006F3381" w:rsidP="000C6A91">
      <w:pPr>
        <w:widowControl/>
        <w:spacing w:line="600" w:lineRule="exact"/>
        <w:ind w:firstLine="645"/>
        <w:rPr>
          <w:rFonts w:asciiTheme="minorEastAsia" w:hAnsiTheme="minorEastAsia"/>
          <w:bCs/>
          <w:kern w:val="0"/>
          <w:sz w:val="32"/>
          <w:szCs w:val="32"/>
        </w:rPr>
      </w:pPr>
      <w:r>
        <w:rPr>
          <w:rFonts w:asciiTheme="minorEastAsia" w:hAnsiTheme="minorEastAsia" w:hint="eastAsia"/>
          <w:bCs/>
          <w:kern w:val="0"/>
          <w:sz w:val="32"/>
          <w:szCs w:val="32"/>
        </w:rPr>
        <w:t>2、</w:t>
      </w:r>
      <w:r w:rsidR="000C6A91">
        <w:rPr>
          <w:rFonts w:asciiTheme="minorEastAsia" w:hAnsiTheme="minorEastAsia" w:hint="eastAsia"/>
          <w:bCs/>
          <w:kern w:val="0"/>
          <w:sz w:val="32"/>
          <w:szCs w:val="32"/>
        </w:rPr>
        <w:t>行政机构：教务处、党委教师工作部.人事处、科研处、学报编辑部、财务处、招生就业处、审计处、国有资产管理处、后勤处、实验实训教学中心、图书馆、财经大数据研究员、发展规划处、国际合作与交流处、教学质量监测与评估处、网络信息中心、保卫处.综治办.维稳办、离退休工作处、湖南省经济地理研究所。</w:t>
      </w:r>
    </w:p>
    <w:p w:rsidR="000C6A91" w:rsidRPr="000C6A91" w:rsidRDefault="000C6A91" w:rsidP="000C6A91">
      <w:pPr>
        <w:widowControl/>
        <w:spacing w:line="600" w:lineRule="exact"/>
        <w:ind w:firstLine="645"/>
        <w:rPr>
          <w:rFonts w:asciiTheme="minorEastAsia" w:hAnsiTheme="minorEastAsia"/>
          <w:bCs/>
          <w:kern w:val="0"/>
          <w:sz w:val="32"/>
          <w:szCs w:val="32"/>
        </w:rPr>
      </w:pPr>
      <w:r>
        <w:rPr>
          <w:rFonts w:asciiTheme="minorEastAsia" w:hAnsiTheme="minorEastAsia" w:hint="eastAsia"/>
          <w:bCs/>
          <w:kern w:val="0"/>
          <w:sz w:val="32"/>
          <w:szCs w:val="32"/>
        </w:rPr>
        <w:t>3、党群机构：</w:t>
      </w:r>
      <w:r w:rsidR="00D50316">
        <w:rPr>
          <w:rFonts w:asciiTheme="minorEastAsia" w:hAnsiTheme="minorEastAsia" w:hint="eastAsia"/>
          <w:bCs/>
          <w:kern w:val="0"/>
          <w:sz w:val="32"/>
          <w:szCs w:val="32"/>
        </w:rPr>
        <w:t>党政办、组织部.党校.机关党总支、纪委.监察专员办公室、学生工作部（处）、校团委、工会、校友会.厚生教育基金会秘书处。</w:t>
      </w:r>
    </w:p>
    <w:p w:rsidR="00D50316" w:rsidRDefault="0067602F" w:rsidP="00F16204">
      <w:pPr>
        <w:widowControl/>
        <w:spacing w:line="600" w:lineRule="exact"/>
        <w:ind w:firstLineChars="150" w:firstLine="480"/>
        <w:rPr>
          <w:rFonts w:asciiTheme="minorEastAsia" w:hAnsiTheme="minorEastAsia"/>
          <w:bCs/>
          <w:kern w:val="0"/>
          <w:sz w:val="32"/>
          <w:szCs w:val="32"/>
        </w:rPr>
      </w:pPr>
      <w:r>
        <w:rPr>
          <w:rFonts w:asciiTheme="minorEastAsia" w:hAnsiTheme="minorEastAsia" w:hint="eastAsia"/>
          <w:bCs/>
          <w:kern w:val="0"/>
          <w:sz w:val="32"/>
          <w:szCs w:val="32"/>
        </w:rPr>
        <w:t>（二）决算单位构成。</w:t>
      </w:r>
    </w:p>
    <w:p w:rsidR="003C0489" w:rsidRDefault="00D50316" w:rsidP="00D50316">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湖南</w:t>
      </w:r>
      <w:r>
        <w:rPr>
          <w:rFonts w:asciiTheme="minorEastAsia" w:hAnsiTheme="minorEastAsia"/>
          <w:bCs/>
          <w:kern w:val="0"/>
          <w:sz w:val="32"/>
          <w:szCs w:val="32"/>
        </w:rPr>
        <w:t>财政经济学院</w:t>
      </w:r>
      <w:r w:rsidR="0067602F">
        <w:rPr>
          <w:rFonts w:asciiTheme="minorEastAsia" w:hAnsiTheme="minorEastAsia"/>
          <w:bCs/>
          <w:kern w:val="0"/>
          <w:sz w:val="32"/>
          <w:szCs w:val="32"/>
        </w:rPr>
        <w:t>20</w:t>
      </w:r>
      <w:r w:rsidR="0067602F">
        <w:rPr>
          <w:rFonts w:asciiTheme="minorEastAsia" w:hAnsiTheme="minorEastAsia" w:hint="eastAsia"/>
          <w:bCs/>
          <w:kern w:val="0"/>
          <w:sz w:val="32"/>
          <w:szCs w:val="32"/>
        </w:rPr>
        <w:t>20年决算汇总公开单位构成包括：</w:t>
      </w:r>
      <w:r>
        <w:rPr>
          <w:rFonts w:asciiTheme="minorEastAsia" w:hAnsiTheme="minorEastAsia" w:hint="eastAsia"/>
          <w:bCs/>
          <w:kern w:val="0"/>
          <w:sz w:val="32"/>
          <w:szCs w:val="32"/>
        </w:rPr>
        <w:t>湖南</w:t>
      </w:r>
      <w:r>
        <w:rPr>
          <w:rFonts w:asciiTheme="minorEastAsia" w:hAnsiTheme="minorEastAsia"/>
          <w:bCs/>
          <w:kern w:val="0"/>
          <w:sz w:val="32"/>
          <w:szCs w:val="32"/>
        </w:rPr>
        <w:t>财政经济学院</w:t>
      </w:r>
      <w:r w:rsidR="00031B23">
        <w:rPr>
          <w:rFonts w:asciiTheme="minorEastAsia" w:hAnsiTheme="minorEastAsia"/>
          <w:bCs/>
          <w:kern w:val="0"/>
          <w:sz w:val="32"/>
          <w:szCs w:val="32"/>
        </w:rPr>
        <w:t>本级</w:t>
      </w:r>
      <w:r w:rsidR="00031B23">
        <w:rPr>
          <w:rFonts w:asciiTheme="minorEastAsia" w:hAnsiTheme="minorEastAsia" w:hint="eastAsia"/>
          <w:bCs/>
          <w:kern w:val="0"/>
          <w:sz w:val="32"/>
          <w:szCs w:val="32"/>
        </w:rPr>
        <w:t>，</w:t>
      </w:r>
      <w:r w:rsidR="00031B23" w:rsidRPr="00031B23">
        <w:rPr>
          <w:rFonts w:asciiTheme="minorEastAsia" w:hAnsiTheme="minorEastAsia" w:hint="eastAsia"/>
          <w:bCs/>
          <w:kern w:val="0"/>
          <w:sz w:val="32"/>
          <w:szCs w:val="32"/>
        </w:rPr>
        <w:t>没有其他决算单位，因此本单位决算仅含本级决算</w:t>
      </w:r>
      <w:r>
        <w:rPr>
          <w:rFonts w:asciiTheme="minorEastAsia" w:hAnsiTheme="minorEastAsia" w:hint="eastAsia"/>
          <w:bCs/>
          <w:kern w:val="0"/>
          <w:sz w:val="32"/>
          <w:szCs w:val="32"/>
        </w:rPr>
        <w:t>。</w:t>
      </w:r>
    </w:p>
    <w:p w:rsidR="003C0489" w:rsidRDefault="003C0489">
      <w:pPr>
        <w:jc w:val="left"/>
        <w:rPr>
          <w:rFonts w:ascii="仿宋_GB2312" w:eastAsia="仿宋_GB2312" w:hAnsiTheme="minorEastAsia"/>
          <w:sz w:val="28"/>
          <w:szCs w:val="32"/>
        </w:rPr>
      </w:pPr>
    </w:p>
    <w:p w:rsidR="003C0489" w:rsidRDefault="003C0489">
      <w:pPr>
        <w:jc w:val="center"/>
        <w:rPr>
          <w:sz w:val="72"/>
          <w:szCs w:val="72"/>
        </w:rPr>
      </w:pPr>
    </w:p>
    <w:p w:rsidR="003C0489" w:rsidRDefault="003C0489">
      <w:pPr>
        <w:jc w:val="center"/>
        <w:rPr>
          <w:sz w:val="72"/>
          <w:szCs w:val="72"/>
        </w:rPr>
      </w:pPr>
    </w:p>
    <w:p w:rsidR="00F16204" w:rsidRDefault="00F16204">
      <w:pPr>
        <w:jc w:val="center"/>
        <w:rPr>
          <w:sz w:val="72"/>
          <w:szCs w:val="72"/>
        </w:rPr>
      </w:pPr>
    </w:p>
    <w:p w:rsidR="00F16204" w:rsidRDefault="00F16204">
      <w:pPr>
        <w:jc w:val="center"/>
        <w:rPr>
          <w:sz w:val="72"/>
          <w:szCs w:val="72"/>
        </w:rPr>
      </w:pPr>
    </w:p>
    <w:p w:rsidR="00BA2612" w:rsidRDefault="00BA2612" w:rsidP="00F16204">
      <w:pPr>
        <w:jc w:val="center"/>
        <w:rPr>
          <w:rFonts w:ascii="黑体" w:eastAsia="黑体" w:hAnsi="黑体"/>
          <w:sz w:val="52"/>
          <w:szCs w:val="52"/>
        </w:rPr>
      </w:pPr>
    </w:p>
    <w:p w:rsidR="00F2717B" w:rsidRDefault="00F2717B" w:rsidP="00F16204">
      <w:pPr>
        <w:jc w:val="center"/>
        <w:rPr>
          <w:rFonts w:ascii="黑体" w:eastAsia="黑体" w:hAnsi="黑体"/>
          <w:sz w:val="52"/>
          <w:szCs w:val="52"/>
        </w:rPr>
      </w:pPr>
    </w:p>
    <w:p w:rsidR="00F16204" w:rsidRPr="00F2717B" w:rsidRDefault="00F16204" w:rsidP="006D3EDD">
      <w:pPr>
        <w:spacing w:afterLines="100"/>
        <w:jc w:val="center"/>
        <w:rPr>
          <w:rFonts w:ascii="黑体" w:eastAsia="黑体" w:hAnsi="黑体"/>
          <w:sz w:val="44"/>
          <w:szCs w:val="44"/>
        </w:rPr>
      </w:pPr>
      <w:r w:rsidRPr="00F2717B">
        <w:rPr>
          <w:rFonts w:ascii="黑体" w:eastAsia="黑体" w:hAnsi="黑体" w:hint="eastAsia"/>
          <w:sz w:val="44"/>
          <w:szCs w:val="44"/>
        </w:rPr>
        <w:t>第二部分</w:t>
      </w:r>
      <w:r w:rsidR="00F2717B" w:rsidRPr="00F2717B">
        <w:rPr>
          <w:rFonts w:ascii="黑体" w:eastAsia="黑体" w:hAnsi="黑体" w:hint="eastAsia"/>
          <w:sz w:val="44"/>
          <w:szCs w:val="44"/>
        </w:rPr>
        <w:t xml:space="preserve"> </w:t>
      </w:r>
      <w:r w:rsidRPr="00F2717B">
        <w:rPr>
          <w:rFonts w:ascii="黑体" w:eastAsia="黑体" w:hAnsi="黑体" w:hint="eastAsia"/>
          <w:sz w:val="44"/>
          <w:szCs w:val="44"/>
        </w:rPr>
        <w:t>部门决算表</w:t>
      </w:r>
    </w:p>
    <w:p w:rsidR="00F16204" w:rsidRPr="00F2717B" w:rsidRDefault="00F16204" w:rsidP="006D3EDD">
      <w:pPr>
        <w:pStyle w:val="Default"/>
        <w:spacing w:afterLines="100" w:line="500" w:lineRule="exact"/>
        <w:jc w:val="center"/>
        <w:rPr>
          <w:rFonts w:asciiTheme="minorEastAsia" w:eastAsiaTheme="minorEastAsia" w:hAnsiTheme="minorEastAsia" w:cs="仿宋_GB2312"/>
          <w:sz w:val="36"/>
          <w:szCs w:val="36"/>
        </w:rPr>
      </w:pPr>
      <w:r w:rsidRPr="00F2717B">
        <w:rPr>
          <w:rFonts w:asciiTheme="minorEastAsia" w:eastAsiaTheme="minorEastAsia" w:hAnsiTheme="minorEastAsia" w:cs="仿宋_GB2312"/>
          <w:sz w:val="36"/>
          <w:szCs w:val="36"/>
        </w:rPr>
        <w:t>一、收入支出决算总表</w:t>
      </w:r>
    </w:p>
    <w:tbl>
      <w:tblPr>
        <w:tblW w:w="10290" w:type="dxa"/>
        <w:tblInd w:w="93" w:type="dxa"/>
        <w:tblLook w:val="04A0"/>
      </w:tblPr>
      <w:tblGrid>
        <w:gridCol w:w="3230"/>
        <w:gridCol w:w="580"/>
        <w:gridCol w:w="1340"/>
        <w:gridCol w:w="3220"/>
        <w:gridCol w:w="580"/>
        <w:gridCol w:w="1340"/>
      </w:tblGrid>
      <w:tr w:rsidR="00F2717B" w:rsidRPr="00F2717B" w:rsidTr="00F2717B">
        <w:trPr>
          <w:trHeight w:val="255"/>
        </w:trPr>
        <w:tc>
          <w:tcPr>
            <w:tcW w:w="3230" w:type="dxa"/>
            <w:tcBorders>
              <w:top w:val="nil"/>
              <w:left w:val="nil"/>
              <w:bottom w:val="nil"/>
              <w:right w:val="nil"/>
            </w:tcBorders>
            <w:shd w:val="clear" w:color="auto" w:fill="auto"/>
            <w:noWrap/>
            <w:vAlign w:val="bottom"/>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编制单位：湖南财政经济学院</w:t>
            </w:r>
          </w:p>
        </w:tc>
        <w:tc>
          <w:tcPr>
            <w:tcW w:w="580" w:type="dxa"/>
            <w:tcBorders>
              <w:top w:val="nil"/>
              <w:left w:val="nil"/>
              <w:bottom w:val="nil"/>
              <w:right w:val="nil"/>
            </w:tcBorders>
            <w:shd w:val="clear" w:color="auto" w:fill="auto"/>
            <w:noWrap/>
            <w:vAlign w:val="bottom"/>
            <w:hideMark/>
          </w:tcPr>
          <w:p w:rsidR="00F2717B" w:rsidRPr="00F2717B" w:rsidRDefault="00F2717B" w:rsidP="00F2717B">
            <w:pPr>
              <w:widowControl/>
              <w:jc w:val="left"/>
              <w:rPr>
                <w:rFonts w:ascii="Times New Roman" w:eastAsia="宋体" w:hAnsi="Times New Roman" w:cs="Times New Roman"/>
                <w:color w:val="000000"/>
                <w:kern w:val="0"/>
                <w:sz w:val="20"/>
                <w:szCs w:val="20"/>
              </w:rPr>
            </w:pPr>
          </w:p>
        </w:tc>
        <w:tc>
          <w:tcPr>
            <w:tcW w:w="1340" w:type="dxa"/>
            <w:tcBorders>
              <w:top w:val="nil"/>
              <w:left w:val="nil"/>
              <w:bottom w:val="nil"/>
              <w:right w:val="nil"/>
            </w:tcBorders>
            <w:shd w:val="clear" w:color="auto" w:fill="auto"/>
            <w:noWrap/>
            <w:vAlign w:val="bottom"/>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p>
        </w:tc>
        <w:tc>
          <w:tcPr>
            <w:tcW w:w="3220" w:type="dxa"/>
            <w:tcBorders>
              <w:top w:val="nil"/>
              <w:left w:val="nil"/>
              <w:bottom w:val="nil"/>
              <w:right w:val="nil"/>
            </w:tcBorders>
            <w:shd w:val="clear" w:color="auto" w:fill="auto"/>
            <w:noWrap/>
            <w:vAlign w:val="bottom"/>
            <w:hideMark/>
          </w:tcPr>
          <w:p w:rsidR="00F2717B" w:rsidRPr="00F2717B" w:rsidRDefault="00F2717B" w:rsidP="00F2717B">
            <w:pPr>
              <w:widowControl/>
              <w:jc w:val="left"/>
              <w:rPr>
                <w:rFonts w:ascii="Times New Roman" w:eastAsia="宋体" w:hAnsi="Times New Roman" w:cs="Times New Roman"/>
                <w:color w:val="000000"/>
                <w:kern w:val="0"/>
                <w:sz w:val="20"/>
                <w:szCs w:val="20"/>
              </w:rPr>
            </w:pPr>
          </w:p>
        </w:tc>
        <w:tc>
          <w:tcPr>
            <w:tcW w:w="580" w:type="dxa"/>
            <w:tcBorders>
              <w:top w:val="nil"/>
              <w:left w:val="nil"/>
              <w:bottom w:val="nil"/>
              <w:right w:val="nil"/>
            </w:tcBorders>
            <w:shd w:val="clear" w:color="auto" w:fill="auto"/>
            <w:noWrap/>
            <w:vAlign w:val="bottom"/>
            <w:hideMark/>
          </w:tcPr>
          <w:p w:rsidR="00F2717B" w:rsidRPr="00F2717B" w:rsidRDefault="00F2717B" w:rsidP="00F2717B">
            <w:pPr>
              <w:widowControl/>
              <w:jc w:val="left"/>
              <w:rPr>
                <w:rFonts w:ascii="Times New Roman" w:eastAsia="宋体" w:hAnsi="Times New Roman" w:cs="Times New Roman"/>
                <w:color w:val="000000"/>
                <w:kern w:val="0"/>
                <w:sz w:val="20"/>
                <w:szCs w:val="20"/>
              </w:rPr>
            </w:pPr>
          </w:p>
        </w:tc>
        <w:tc>
          <w:tcPr>
            <w:tcW w:w="1340" w:type="dxa"/>
            <w:tcBorders>
              <w:top w:val="nil"/>
              <w:left w:val="nil"/>
              <w:bottom w:val="nil"/>
              <w:right w:val="nil"/>
            </w:tcBorders>
            <w:shd w:val="clear" w:color="auto" w:fill="auto"/>
            <w:noWrap/>
            <w:vAlign w:val="bottom"/>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单位：万元</w:t>
            </w:r>
          </w:p>
        </w:tc>
      </w:tr>
      <w:tr w:rsidR="00F2717B" w:rsidRPr="00F2717B" w:rsidTr="00F2717B">
        <w:trPr>
          <w:trHeight w:val="308"/>
        </w:trPr>
        <w:tc>
          <w:tcPr>
            <w:tcW w:w="515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收入</w:t>
            </w:r>
          </w:p>
        </w:tc>
        <w:tc>
          <w:tcPr>
            <w:tcW w:w="5140"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支出</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项目</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行次</w:t>
            </w:r>
          </w:p>
        </w:tc>
        <w:tc>
          <w:tcPr>
            <w:tcW w:w="134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决算数</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项目</w:t>
            </w:r>
            <w:r w:rsidRPr="00F2717B">
              <w:rPr>
                <w:rFonts w:ascii="Times New Roman" w:eastAsia="宋体" w:hAnsi="Times New Roman" w:cs="Times New Roman"/>
                <w:color w:val="000000"/>
                <w:kern w:val="0"/>
                <w:sz w:val="20"/>
                <w:szCs w:val="20"/>
              </w:rPr>
              <w:t>(</w:t>
            </w:r>
            <w:r w:rsidRPr="00F2717B">
              <w:rPr>
                <w:rFonts w:ascii="宋体" w:eastAsia="宋体" w:hAnsi="宋体" w:cs="Times New Roman" w:hint="eastAsia"/>
                <w:color w:val="000000"/>
                <w:kern w:val="0"/>
                <w:sz w:val="20"/>
                <w:szCs w:val="20"/>
              </w:rPr>
              <w:t>按功能分类</w:t>
            </w:r>
            <w:r w:rsidRPr="00F2717B">
              <w:rPr>
                <w:rFonts w:ascii="Times New Roman" w:eastAsia="宋体" w:hAnsi="Times New Roman" w:cs="Times New Roman"/>
                <w:color w:val="000000"/>
                <w:kern w:val="0"/>
                <w:sz w:val="20"/>
                <w:szCs w:val="20"/>
              </w:rPr>
              <w:t>)</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行次</w:t>
            </w:r>
          </w:p>
        </w:tc>
        <w:tc>
          <w:tcPr>
            <w:tcW w:w="134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决算数</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栏次</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134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栏次</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134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一、一般公共预算财政拨款收入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20,014.78</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一、一般公共服务支出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32</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370.00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二、政府性基金预算财政拨款收入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二、外交支出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33</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三、国有资本经营预算财政拨款收入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三、国防支出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34</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四、上级补助收入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四、公共安全支出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35</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五、事业收入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10,227.16</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五、教育支出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36</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39,138.83</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六、经营收入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6</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2,068.27</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六、科学技术支出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37</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85.35</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七、附属单位上缴收入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7</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38</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八、其他收入</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8</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7,355.48</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八、社会保障和就业支出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39</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14.00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9</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九、卫生健康支出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40</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10</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十、节能环保支出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41</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11</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十一、城乡社区支出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42</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12</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十二、农林水支出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43</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13</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十三、交通运输支出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44</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14</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十四、资源勘探工业信息等支出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45</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15</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十五、商业服务业等支出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46</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16</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十六、金融支出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47</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17</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十七、援助其他地区支出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48</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18</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49</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19</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十九、住房保障支出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50</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20</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二十、粮油物资储备支出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51</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21</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二十一、国有资本经营预算支出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52</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22</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二十二、灾害防治及应急管理支出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53</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23</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二十三、其他支出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54</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24</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二十四、债务还本支出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55</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25</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二十五、债务付息支出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56</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26</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宋体" w:eastAsia="宋体" w:hAnsi="宋体" w:cs="Times New Roman" w:hint="eastAsia"/>
                <w:color w:val="000000"/>
                <w:kern w:val="0"/>
                <w:sz w:val="20"/>
                <w:szCs w:val="20"/>
              </w:rPr>
              <w:t>二十六、抗疫特别国债安排的支出</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57</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b/>
                <w:bCs/>
                <w:color w:val="000000"/>
                <w:kern w:val="0"/>
                <w:sz w:val="20"/>
                <w:szCs w:val="20"/>
              </w:rPr>
            </w:pPr>
            <w:r w:rsidRPr="00F2717B">
              <w:rPr>
                <w:rFonts w:ascii="宋体" w:eastAsia="宋体" w:hAnsi="宋体" w:cs="Times New Roman" w:hint="eastAsia"/>
                <w:b/>
                <w:bCs/>
                <w:color w:val="000000"/>
                <w:kern w:val="0"/>
                <w:sz w:val="20"/>
                <w:szCs w:val="20"/>
              </w:rPr>
              <w:t>本年收入合计</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27</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39,665.68</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b/>
                <w:bCs/>
                <w:color w:val="000000"/>
                <w:kern w:val="0"/>
                <w:sz w:val="20"/>
                <w:szCs w:val="20"/>
              </w:rPr>
            </w:pPr>
            <w:r w:rsidRPr="00F2717B">
              <w:rPr>
                <w:rFonts w:ascii="宋体" w:eastAsia="宋体" w:hAnsi="宋体" w:cs="Times New Roman" w:hint="eastAsia"/>
                <w:b/>
                <w:bCs/>
                <w:color w:val="000000"/>
                <w:kern w:val="0"/>
                <w:sz w:val="20"/>
                <w:szCs w:val="20"/>
              </w:rPr>
              <w:t>本年支出合计</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58</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39,608.18</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r w:rsidRPr="00F2717B">
              <w:rPr>
                <w:rFonts w:ascii="宋体" w:eastAsia="宋体" w:hAnsi="宋体" w:cs="Times New Roman" w:hint="eastAsia"/>
                <w:color w:val="000000"/>
                <w:kern w:val="0"/>
                <w:sz w:val="20"/>
                <w:szCs w:val="20"/>
              </w:rPr>
              <w:t>使用非财政拨款结余</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28</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2,218.98</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r w:rsidRPr="00F2717B">
              <w:rPr>
                <w:rFonts w:ascii="宋体" w:eastAsia="宋体" w:hAnsi="宋体" w:cs="Times New Roman" w:hint="eastAsia"/>
                <w:color w:val="000000"/>
                <w:kern w:val="0"/>
                <w:sz w:val="20"/>
                <w:szCs w:val="20"/>
              </w:rPr>
              <w:t>结余分配</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59</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0.00</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r w:rsidRPr="00F2717B">
              <w:rPr>
                <w:rFonts w:ascii="宋体" w:eastAsia="宋体" w:hAnsi="宋体" w:cs="Times New Roman" w:hint="eastAsia"/>
                <w:color w:val="000000"/>
                <w:kern w:val="0"/>
                <w:sz w:val="20"/>
                <w:szCs w:val="20"/>
              </w:rPr>
              <w:t>年初结转和结余</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29</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174.82</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r w:rsidRPr="00F2717B">
              <w:rPr>
                <w:rFonts w:ascii="宋体" w:eastAsia="宋体" w:hAnsi="宋体" w:cs="Times New Roman" w:hint="eastAsia"/>
                <w:color w:val="000000"/>
                <w:kern w:val="0"/>
                <w:sz w:val="20"/>
                <w:szCs w:val="20"/>
              </w:rPr>
              <w:t>年末结转和结余</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60</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2,451.31</w:t>
            </w:r>
          </w:p>
        </w:tc>
      </w:tr>
      <w:tr w:rsidR="00F2717B" w:rsidRPr="00F2717B" w:rsidTr="00F2717B">
        <w:trPr>
          <w:trHeight w:val="308"/>
        </w:trPr>
        <w:tc>
          <w:tcPr>
            <w:tcW w:w="3230" w:type="dxa"/>
            <w:tcBorders>
              <w:top w:val="nil"/>
              <w:left w:val="single" w:sz="4" w:space="0" w:color="000000"/>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30</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322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lef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61</w:t>
            </w:r>
          </w:p>
        </w:tc>
        <w:tc>
          <w:tcPr>
            <w:tcW w:w="1340" w:type="dxa"/>
            <w:tcBorders>
              <w:top w:val="nil"/>
              <w:left w:val="nil"/>
              <w:bottom w:val="single" w:sz="4"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 xml:space="preserve">　</w:t>
            </w:r>
          </w:p>
        </w:tc>
      </w:tr>
      <w:tr w:rsidR="00F2717B" w:rsidRPr="00F2717B" w:rsidTr="00F2717B">
        <w:trPr>
          <w:trHeight w:val="308"/>
        </w:trPr>
        <w:tc>
          <w:tcPr>
            <w:tcW w:w="3230" w:type="dxa"/>
            <w:tcBorders>
              <w:top w:val="nil"/>
              <w:left w:val="single" w:sz="4" w:space="0" w:color="000000"/>
              <w:bottom w:val="single" w:sz="8"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b/>
                <w:bCs/>
                <w:color w:val="000000"/>
                <w:kern w:val="0"/>
                <w:sz w:val="20"/>
                <w:szCs w:val="20"/>
              </w:rPr>
            </w:pPr>
            <w:r w:rsidRPr="00F2717B">
              <w:rPr>
                <w:rFonts w:ascii="宋体" w:eastAsia="宋体" w:hAnsi="宋体" w:cs="Times New Roman" w:hint="eastAsia"/>
                <w:b/>
                <w:bCs/>
                <w:color w:val="000000"/>
                <w:kern w:val="0"/>
                <w:sz w:val="20"/>
                <w:szCs w:val="20"/>
              </w:rPr>
              <w:t>总计</w:t>
            </w:r>
          </w:p>
        </w:tc>
        <w:tc>
          <w:tcPr>
            <w:tcW w:w="580" w:type="dxa"/>
            <w:tcBorders>
              <w:top w:val="nil"/>
              <w:left w:val="nil"/>
              <w:bottom w:val="single" w:sz="8"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31</w:t>
            </w:r>
          </w:p>
        </w:tc>
        <w:tc>
          <w:tcPr>
            <w:tcW w:w="1340" w:type="dxa"/>
            <w:tcBorders>
              <w:top w:val="nil"/>
              <w:left w:val="nil"/>
              <w:bottom w:val="single" w:sz="8"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42,059.48</w:t>
            </w:r>
          </w:p>
        </w:tc>
        <w:tc>
          <w:tcPr>
            <w:tcW w:w="3220" w:type="dxa"/>
            <w:tcBorders>
              <w:top w:val="nil"/>
              <w:left w:val="nil"/>
              <w:bottom w:val="single" w:sz="8"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b/>
                <w:bCs/>
                <w:color w:val="000000"/>
                <w:kern w:val="0"/>
                <w:sz w:val="20"/>
                <w:szCs w:val="20"/>
              </w:rPr>
            </w:pPr>
            <w:r w:rsidRPr="00F2717B">
              <w:rPr>
                <w:rFonts w:ascii="宋体" w:eastAsia="宋体" w:hAnsi="宋体" w:cs="Times New Roman" w:hint="eastAsia"/>
                <w:b/>
                <w:bCs/>
                <w:color w:val="000000"/>
                <w:kern w:val="0"/>
                <w:sz w:val="20"/>
                <w:szCs w:val="20"/>
              </w:rPr>
              <w:t>总计</w:t>
            </w:r>
          </w:p>
        </w:tc>
        <w:tc>
          <w:tcPr>
            <w:tcW w:w="580" w:type="dxa"/>
            <w:tcBorders>
              <w:top w:val="nil"/>
              <w:left w:val="nil"/>
              <w:bottom w:val="single" w:sz="8" w:space="0" w:color="000000"/>
              <w:right w:val="single" w:sz="4" w:space="0" w:color="000000"/>
            </w:tcBorders>
            <w:shd w:val="clear" w:color="FFFFFF" w:fill="FFFFFF"/>
            <w:noWrap/>
            <w:vAlign w:val="center"/>
            <w:hideMark/>
          </w:tcPr>
          <w:p w:rsidR="00F2717B" w:rsidRPr="00F2717B" w:rsidRDefault="00F2717B" w:rsidP="00F2717B">
            <w:pPr>
              <w:widowControl/>
              <w:jc w:val="center"/>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62</w:t>
            </w:r>
          </w:p>
        </w:tc>
        <w:tc>
          <w:tcPr>
            <w:tcW w:w="1340" w:type="dxa"/>
            <w:tcBorders>
              <w:top w:val="nil"/>
              <w:left w:val="nil"/>
              <w:bottom w:val="single" w:sz="8" w:space="0" w:color="000000"/>
              <w:right w:val="single" w:sz="4" w:space="0" w:color="000000"/>
            </w:tcBorders>
            <w:shd w:val="clear" w:color="000000" w:fill="FFFFFF"/>
            <w:noWrap/>
            <w:vAlign w:val="center"/>
            <w:hideMark/>
          </w:tcPr>
          <w:p w:rsidR="00F2717B" w:rsidRPr="00F2717B" w:rsidRDefault="00F2717B" w:rsidP="00F2717B">
            <w:pPr>
              <w:widowControl/>
              <w:jc w:val="right"/>
              <w:rPr>
                <w:rFonts w:ascii="Times New Roman" w:eastAsia="宋体" w:hAnsi="Times New Roman" w:cs="Times New Roman"/>
                <w:color w:val="000000"/>
                <w:kern w:val="0"/>
                <w:sz w:val="20"/>
                <w:szCs w:val="20"/>
              </w:rPr>
            </w:pPr>
            <w:r w:rsidRPr="00F2717B">
              <w:rPr>
                <w:rFonts w:ascii="Times New Roman" w:eastAsia="宋体" w:hAnsi="Times New Roman" w:cs="Times New Roman"/>
                <w:color w:val="000000"/>
                <w:kern w:val="0"/>
                <w:sz w:val="20"/>
                <w:szCs w:val="20"/>
              </w:rPr>
              <w:t>42,059.48</w:t>
            </w:r>
          </w:p>
        </w:tc>
      </w:tr>
    </w:tbl>
    <w:p w:rsidR="00F2717B" w:rsidRPr="00F2717B" w:rsidRDefault="00F2717B" w:rsidP="00F16204">
      <w:pPr>
        <w:pStyle w:val="Default"/>
        <w:spacing w:line="500" w:lineRule="exact"/>
        <w:ind w:firstLineChars="250" w:firstLine="700"/>
        <w:rPr>
          <w:rFonts w:asciiTheme="minorEastAsia" w:eastAsiaTheme="minorEastAsia" w:hAnsiTheme="minorEastAsia" w:cs="仿宋_GB2312"/>
          <w:sz w:val="28"/>
          <w:szCs w:val="28"/>
        </w:rPr>
      </w:pPr>
    </w:p>
    <w:p w:rsidR="002C41CF" w:rsidRDefault="002C41CF" w:rsidP="00F16204">
      <w:pPr>
        <w:pStyle w:val="Default"/>
        <w:spacing w:line="500" w:lineRule="exact"/>
        <w:ind w:firstLineChars="250" w:firstLine="700"/>
        <w:rPr>
          <w:rFonts w:asciiTheme="minorEastAsia" w:eastAsiaTheme="minorEastAsia" w:hAnsiTheme="minorEastAsia" w:cs="仿宋_GB2312"/>
          <w:sz w:val="28"/>
          <w:szCs w:val="28"/>
        </w:rPr>
      </w:pPr>
    </w:p>
    <w:p w:rsidR="002C41CF" w:rsidRDefault="002C41CF" w:rsidP="00F16204">
      <w:pPr>
        <w:pStyle w:val="Default"/>
        <w:spacing w:line="500" w:lineRule="exact"/>
        <w:ind w:firstLineChars="250" w:firstLine="700"/>
        <w:rPr>
          <w:rFonts w:asciiTheme="minorEastAsia" w:eastAsiaTheme="minorEastAsia" w:hAnsiTheme="minorEastAsia" w:cs="仿宋_GB2312"/>
          <w:sz w:val="28"/>
          <w:szCs w:val="28"/>
        </w:rPr>
      </w:pPr>
    </w:p>
    <w:p w:rsidR="00F16204" w:rsidRPr="002C41CF" w:rsidRDefault="00F16204" w:rsidP="006D3EDD">
      <w:pPr>
        <w:pStyle w:val="Default"/>
        <w:spacing w:beforeLines="100" w:afterLines="100" w:line="500" w:lineRule="exact"/>
        <w:jc w:val="center"/>
        <w:rPr>
          <w:rFonts w:asciiTheme="minorEastAsia" w:eastAsiaTheme="minorEastAsia" w:hAnsiTheme="minorEastAsia" w:cs="仿宋_GB2312"/>
          <w:sz w:val="36"/>
          <w:szCs w:val="36"/>
        </w:rPr>
      </w:pPr>
      <w:r w:rsidRPr="002C41CF">
        <w:rPr>
          <w:rFonts w:asciiTheme="minorEastAsia" w:eastAsiaTheme="minorEastAsia" w:hAnsiTheme="minorEastAsia" w:cs="仿宋_GB2312"/>
          <w:sz w:val="36"/>
          <w:szCs w:val="36"/>
        </w:rPr>
        <w:t>二、收入决算表</w:t>
      </w:r>
    </w:p>
    <w:tbl>
      <w:tblPr>
        <w:tblW w:w="10160" w:type="dxa"/>
        <w:tblInd w:w="93" w:type="dxa"/>
        <w:tblLook w:val="04A0"/>
      </w:tblPr>
      <w:tblGrid>
        <w:gridCol w:w="394"/>
        <w:gridCol w:w="394"/>
        <w:gridCol w:w="394"/>
        <w:gridCol w:w="2323"/>
        <w:gridCol w:w="1012"/>
        <w:gridCol w:w="1012"/>
        <w:gridCol w:w="1012"/>
        <w:gridCol w:w="1012"/>
        <w:gridCol w:w="1012"/>
        <w:gridCol w:w="1012"/>
        <w:gridCol w:w="1012"/>
      </w:tblGrid>
      <w:tr w:rsidR="009C45BB" w:rsidRPr="009C45BB" w:rsidTr="009C45BB">
        <w:trPr>
          <w:trHeight w:val="255"/>
        </w:trPr>
        <w:tc>
          <w:tcPr>
            <w:tcW w:w="3020" w:type="dxa"/>
            <w:gridSpan w:val="4"/>
            <w:tcBorders>
              <w:top w:val="nil"/>
              <w:left w:val="nil"/>
              <w:bottom w:val="nil"/>
              <w:right w:val="nil"/>
            </w:tcBorders>
            <w:shd w:val="clear" w:color="auto" w:fill="auto"/>
            <w:noWrap/>
            <w:vAlign w:val="bottom"/>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编制单位：湖南财政经济学院</w:t>
            </w:r>
          </w:p>
        </w:tc>
        <w:tc>
          <w:tcPr>
            <w:tcW w:w="1020" w:type="dxa"/>
            <w:tcBorders>
              <w:top w:val="nil"/>
              <w:left w:val="nil"/>
              <w:bottom w:val="nil"/>
              <w:right w:val="nil"/>
            </w:tcBorders>
            <w:shd w:val="clear" w:color="auto" w:fill="auto"/>
            <w:noWrap/>
            <w:vAlign w:val="bottom"/>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tcBorders>
              <w:top w:val="nil"/>
              <w:left w:val="nil"/>
              <w:bottom w:val="nil"/>
              <w:right w:val="nil"/>
            </w:tcBorders>
            <w:shd w:val="clear" w:color="auto" w:fill="auto"/>
            <w:noWrap/>
            <w:vAlign w:val="bottom"/>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tcBorders>
              <w:top w:val="nil"/>
              <w:left w:val="nil"/>
              <w:bottom w:val="nil"/>
              <w:right w:val="nil"/>
            </w:tcBorders>
            <w:shd w:val="clear" w:color="auto" w:fill="auto"/>
            <w:noWrap/>
            <w:vAlign w:val="bottom"/>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p>
        </w:tc>
        <w:tc>
          <w:tcPr>
            <w:tcW w:w="1020" w:type="dxa"/>
            <w:tcBorders>
              <w:top w:val="nil"/>
              <w:left w:val="nil"/>
              <w:bottom w:val="nil"/>
              <w:right w:val="nil"/>
            </w:tcBorders>
            <w:shd w:val="clear" w:color="auto" w:fill="auto"/>
            <w:noWrap/>
            <w:vAlign w:val="bottom"/>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tcBorders>
              <w:top w:val="nil"/>
              <w:left w:val="nil"/>
              <w:bottom w:val="nil"/>
              <w:right w:val="nil"/>
            </w:tcBorders>
            <w:shd w:val="clear" w:color="auto" w:fill="auto"/>
            <w:noWrap/>
            <w:vAlign w:val="bottom"/>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2040" w:type="dxa"/>
            <w:gridSpan w:val="2"/>
            <w:tcBorders>
              <w:top w:val="nil"/>
              <w:left w:val="nil"/>
              <w:bottom w:val="single" w:sz="4" w:space="0" w:color="000000"/>
              <w:right w:val="nil"/>
            </w:tcBorders>
            <w:shd w:val="clear" w:color="auto" w:fill="auto"/>
            <w:noWrap/>
            <w:vAlign w:val="bottom"/>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单位：万元</w:t>
            </w:r>
          </w:p>
        </w:tc>
      </w:tr>
      <w:tr w:rsidR="009C45BB" w:rsidRPr="009C45BB" w:rsidTr="009C45BB">
        <w:trPr>
          <w:trHeight w:val="308"/>
        </w:trPr>
        <w:tc>
          <w:tcPr>
            <w:tcW w:w="3020"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项目</w:t>
            </w:r>
          </w:p>
        </w:tc>
        <w:tc>
          <w:tcPr>
            <w:tcW w:w="10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本年收入合计</w:t>
            </w:r>
          </w:p>
        </w:tc>
        <w:tc>
          <w:tcPr>
            <w:tcW w:w="10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财政拨款收入</w:t>
            </w:r>
          </w:p>
        </w:tc>
        <w:tc>
          <w:tcPr>
            <w:tcW w:w="10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上级补助收入</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事业收入</w:t>
            </w:r>
          </w:p>
        </w:tc>
        <w:tc>
          <w:tcPr>
            <w:tcW w:w="10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经营收入</w:t>
            </w:r>
          </w:p>
        </w:tc>
        <w:tc>
          <w:tcPr>
            <w:tcW w:w="1020" w:type="dxa"/>
            <w:vMerge w:val="restart"/>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附属单位上缴收入</w:t>
            </w:r>
          </w:p>
        </w:tc>
        <w:tc>
          <w:tcPr>
            <w:tcW w:w="1020" w:type="dxa"/>
            <w:vMerge w:val="restart"/>
            <w:tcBorders>
              <w:top w:val="nil"/>
              <w:left w:val="nil"/>
              <w:bottom w:val="single" w:sz="4" w:space="0" w:color="000000"/>
              <w:right w:val="single" w:sz="8"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其他收入</w:t>
            </w:r>
          </w:p>
        </w:tc>
      </w:tr>
      <w:tr w:rsidR="009C45BB" w:rsidRPr="009C45BB" w:rsidTr="009C45BB">
        <w:trPr>
          <w:trHeight w:val="312"/>
        </w:trPr>
        <w:tc>
          <w:tcPr>
            <w:tcW w:w="675"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支出功能分类科目编码</w:t>
            </w:r>
          </w:p>
        </w:tc>
        <w:tc>
          <w:tcPr>
            <w:tcW w:w="2345" w:type="dxa"/>
            <w:vMerge w:val="restart"/>
            <w:tcBorders>
              <w:top w:val="nil"/>
              <w:left w:val="nil"/>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科目名称</w:t>
            </w: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nil"/>
              <w:left w:val="nil"/>
              <w:bottom w:val="single" w:sz="4" w:space="0" w:color="000000"/>
              <w:right w:val="single" w:sz="8"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r>
      <w:tr w:rsidR="009C45BB" w:rsidRPr="009C45BB" w:rsidTr="009C45BB">
        <w:trPr>
          <w:trHeight w:val="312"/>
        </w:trPr>
        <w:tc>
          <w:tcPr>
            <w:tcW w:w="675" w:type="dxa"/>
            <w:gridSpan w:val="3"/>
            <w:vMerge/>
            <w:tcBorders>
              <w:top w:val="nil"/>
              <w:left w:val="single" w:sz="4" w:space="0" w:color="000000"/>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2345"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nil"/>
              <w:left w:val="nil"/>
              <w:bottom w:val="single" w:sz="4" w:space="0" w:color="000000"/>
              <w:right w:val="single" w:sz="8"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r>
      <w:tr w:rsidR="009C45BB" w:rsidRPr="009C45BB" w:rsidTr="009C45BB">
        <w:trPr>
          <w:trHeight w:val="312"/>
        </w:trPr>
        <w:tc>
          <w:tcPr>
            <w:tcW w:w="675" w:type="dxa"/>
            <w:gridSpan w:val="3"/>
            <w:vMerge/>
            <w:tcBorders>
              <w:top w:val="nil"/>
              <w:left w:val="single" w:sz="4" w:space="0" w:color="000000"/>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2345"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single" w:sz="4" w:space="0" w:color="000000"/>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1020" w:type="dxa"/>
            <w:vMerge/>
            <w:tcBorders>
              <w:top w:val="nil"/>
              <w:left w:val="nil"/>
              <w:bottom w:val="single" w:sz="4" w:space="0" w:color="000000"/>
              <w:right w:val="single" w:sz="8"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r>
      <w:tr w:rsidR="009C45BB" w:rsidRPr="009C45BB" w:rsidTr="009C45BB">
        <w:trPr>
          <w:trHeight w:val="308"/>
        </w:trPr>
        <w:tc>
          <w:tcPr>
            <w:tcW w:w="225"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类</w:t>
            </w:r>
          </w:p>
        </w:tc>
        <w:tc>
          <w:tcPr>
            <w:tcW w:w="225" w:type="dxa"/>
            <w:vMerge w:val="restart"/>
            <w:tcBorders>
              <w:top w:val="nil"/>
              <w:left w:val="nil"/>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款</w:t>
            </w:r>
          </w:p>
        </w:tc>
        <w:tc>
          <w:tcPr>
            <w:tcW w:w="225" w:type="dxa"/>
            <w:vMerge w:val="restart"/>
            <w:tcBorders>
              <w:top w:val="nil"/>
              <w:left w:val="nil"/>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项</w:t>
            </w:r>
          </w:p>
        </w:tc>
        <w:tc>
          <w:tcPr>
            <w:tcW w:w="2345" w:type="dxa"/>
            <w:tcBorders>
              <w:top w:val="nil"/>
              <w:left w:val="nil"/>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栏次</w:t>
            </w:r>
          </w:p>
        </w:tc>
        <w:tc>
          <w:tcPr>
            <w:tcW w:w="1020" w:type="dxa"/>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w:t>
            </w:r>
          </w:p>
        </w:tc>
        <w:tc>
          <w:tcPr>
            <w:tcW w:w="1020" w:type="dxa"/>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w:t>
            </w:r>
          </w:p>
        </w:tc>
        <w:tc>
          <w:tcPr>
            <w:tcW w:w="1020" w:type="dxa"/>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w:t>
            </w:r>
          </w:p>
        </w:tc>
        <w:tc>
          <w:tcPr>
            <w:tcW w:w="1020" w:type="dxa"/>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4</w:t>
            </w:r>
          </w:p>
        </w:tc>
        <w:tc>
          <w:tcPr>
            <w:tcW w:w="1020" w:type="dxa"/>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6</w:t>
            </w:r>
          </w:p>
        </w:tc>
        <w:tc>
          <w:tcPr>
            <w:tcW w:w="1020" w:type="dxa"/>
            <w:tcBorders>
              <w:top w:val="nil"/>
              <w:left w:val="nil"/>
              <w:bottom w:val="single" w:sz="4" w:space="0" w:color="000000"/>
              <w:right w:val="single" w:sz="4"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7</w:t>
            </w:r>
          </w:p>
        </w:tc>
        <w:tc>
          <w:tcPr>
            <w:tcW w:w="1020" w:type="dxa"/>
            <w:tcBorders>
              <w:top w:val="nil"/>
              <w:left w:val="nil"/>
              <w:bottom w:val="single" w:sz="4" w:space="0" w:color="000000"/>
              <w:right w:val="single" w:sz="8" w:space="0" w:color="000000"/>
            </w:tcBorders>
            <w:shd w:val="clear" w:color="FFFFFF" w:fill="FFFFFF"/>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8</w:t>
            </w:r>
          </w:p>
        </w:tc>
      </w:tr>
      <w:tr w:rsidR="009C45BB" w:rsidRPr="009C45BB" w:rsidTr="009C45BB">
        <w:trPr>
          <w:trHeight w:val="308"/>
        </w:trPr>
        <w:tc>
          <w:tcPr>
            <w:tcW w:w="225" w:type="dxa"/>
            <w:vMerge/>
            <w:tcBorders>
              <w:top w:val="nil"/>
              <w:left w:val="single" w:sz="4" w:space="0" w:color="000000"/>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225"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225" w:type="dxa"/>
            <w:vMerge/>
            <w:tcBorders>
              <w:top w:val="nil"/>
              <w:left w:val="nil"/>
              <w:bottom w:val="single" w:sz="4" w:space="0" w:color="000000"/>
              <w:right w:val="single" w:sz="4" w:space="0" w:color="000000"/>
            </w:tcBorders>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p>
        </w:tc>
        <w:tc>
          <w:tcPr>
            <w:tcW w:w="2345" w:type="dxa"/>
            <w:tcBorders>
              <w:top w:val="nil"/>
              <w:left w:val="nil"/>
              <w:bottom w:val="single" w:sz="4" w:space="0" w:color="000000"/>
              <w:right w:val="single" w:sz="4" w:space="0" w:color="000000"/>
            </w:tcBorders>
            <w:shd w:val="clear" w:color="FFFFFF" w:fill="FFFFFF"/>
            <w:noWrap/>
            <w:vAlign w:val="center"/>
            <w:hideMark/>
          </w:tcPr>
          <w:p w:rsidR="009C45BB" w:rsidRPr="009C45BB" w:rsidRDefault="009C45BB" w:rsidP="009C45BB">
            <w:pPr>
              <w:widowControl/>
              <w:jc w:val="center"/>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合计</w:t>
            </w:r>
          </w:p>
        </w:tc>
        <w:tc>
          <w:tcPr>
            <w:tcW w:w="1020" w:type="dxa"/>
            <w:tcBorders>
              <w:top w:val="nil"/>
              <w:left w:val="nil"/>
              <w:bottom w:val="single" w:sz="4" w:space="0" w:color="000000"/>
              <w:right w:val="single" w:sz="4"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39,665.68</w:t>
            </w:r>
          </w:p>
        </w:tc>
        <w:tc>
          <w:tcPr>
            <w:tcW w:w="1020" w:type="dxa"/>
            <w:tcBorders>
              <w:top w:val="nil"/>
              <w:left w:val="nil"/>
              <w:bottom w:val="single" w:sz="4" w:space="0" w:color="000000"/>
              <w:right w:val="single" w:sz="4"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20,014.78</w:t>
            </w:r>
          </w:p>
        </w:tc>
        <w:tc>
          <w:tcPr>
            <w:tcW w:w="1020" w:type="dxa"/>
            <w:tcBorders>
              <w:top w:val="nil"/>
              <w:left w:val="nil"/>
              <w:bottom w:val="single" w:sz="4" w:space="0" w:color="000000"/>
              <w:right w:val="single" w:sz="4"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10,227.16</w:t>
            </w:r>
          </w:p>
        </w:tc>
        <w:tc>
          <w:tcPr>
            <w:tcW w:w="1020" w:type="dxa"/>
            <w:tcBorders>
              <w:top w:val="nil"/>
              <w:left w:val="nil"/>
              <w:bottom w:val="single" w:sz="4" w:space="0" w:color="000000"/>
              <w:right w:val="single" w:sz="4"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2,068.27</w:t>
            </w:r>
          </w:p>
        </w:tc>
        <w:tc>
          <w:tcPr>
            <w:tcW w:w="1020" w:type="dxa"/>
            <w:tcBorders>
              <w:top w:val="nil"/>
              <w:left w:val="nil"/>
              <w:bottom w:val="single" w:sz="4" w:space="0" w:color="000000"/>
              <w:right w:val="single" w:sz="4"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000000" w:fill="FFFFFF"/>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7,355.48</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201</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一般公共服务支出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370.00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370.00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20104</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发展与改革事务</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315.00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315.00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2010499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其他发展与改革事务支出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315.00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315.00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20106</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财政事务</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55.00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55.00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2010699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其他财政事务支出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55.00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55.00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205</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教育支出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39,116.33</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19,465.43</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10,227.16</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2,068.27</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7,355.48</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20502</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普通教育</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37,616.33</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17,965.43</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10,227.16</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2,068.27</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7,355.48</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2050205</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高等教育</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37,596.33</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17,945.43</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10,227.16</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2,068.27</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7,355.48</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2050299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其他普通教育支出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20599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其他教育支出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1,500.00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1,500.00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2059999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其他教育支出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1,500.00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1,500.00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科学技术支出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165.35</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165.35</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20602</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基础研究</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2060203</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自然科学基金</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20603</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应用研究</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60.00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60.00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2060303</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高技术研究</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60.00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60.00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20605</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科技条件与服务</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2060599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其他科技条件与服务支出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20606</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社会科学</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27.55</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27.55</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2060699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其他社会科学支出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27.55</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27.55</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其他科学技术支出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37.80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37.80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2069901</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科技奖励</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25.00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2069999</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其他科学技术支出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12.80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12.80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208</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社会保障和就业支出</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14.00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14.00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20807</w:t>
            </w:r>
          </w:p>
        </w:tc>
        <w:tc>
          <w:tcPr>
            <w:tcW w:w="2345"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宋体" w:eastAsia="宋体" w:hAnsi="宋体" w:cs="Times New Roman" w:hint="eastAsia"/>
                <w:color w:val="000000"/>
                <w:kern w:val="0"/>
                <w:sz w:val="18"/>
                <w:szCs w:val="18"/>
              </w:rPr>
              <w:t>就业补助</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14.00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14.00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4"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r w:rsidR="009C45BB" w:rsidRPr="009C45BB" w:rsidTr="009C45BB">
        <w:trPr>
          <w:trHeight w:val="308"/>
        </w:trPr>
        <w:tc>
          <w:tcPr>
            <w:tcW w:w="675"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2080701</w:t>
            </w:r>
          </w:p>
        </w:tc>
        <w:tc>
          <w:tcPr>
            <w:tcW w:w="2345"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lef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 xml:space="preserve">  </w:t>
            </w:r>
            <w:r w:rsidRPr="009C45BB">
              <w:rPr>
                <w:rFonts w:ascii="宋体" w:eastAsia="宋体" w:hAnsi="宋体" w:cs="Times New Roman" w:hint="eastAsia"/>
                <w:color w:val="000000"/>
                <w:kern w:val="0"/>
                <w:sz w:val="18"/>
                <w:szCs w:val="18"/>
              </w:rPr>
              <w:t>就业创业服务补贴</w:t>
            </w:r>
          </w:p>
        </w:tc>
        <w:tc>
          <w:tcPr>
            <w:tcW w:w="1020"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14.00</w:t>
            </w:r>
          </w:p>
        </w:tc>
        <w:tc>
          <w:tcPr>
            <w:tcW w:w="1020"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14.00</w:t>
            </w:r>
          </w:p>
        </w:tc>
        <w:tc>
          <w:tcPr>
            <w:tcW w:w="1020"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8" w:space="0" w:color="000000"/>
              <w:right w:val="single" w:sz="4"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c>
          <w:tcPr>
            <w:tcW w:w="1020" w:type="dxa"/>
            <w:tcBorders>
              <w:top w:val="nil"/>
              <w:left w:val="nil"/>
              <w:bottom w:val="single" w:sz="8" w:space="0" w:color="000000"/>
              <w:right w:val="single" w:sz="8" w:space="0" w:color="000000"/>
            </w:tcBorders>
            <w:shd w:val="clear" w:color="auto" w:fill="auto"/>
            <w:noWrap/>
            <w:vAlign w:val="center"/>
            <w:hideMark/>
          </w:tcPr>
          <w:p w:rsidR="009C45BB" w:rsidRPr="009C45BB" w:rsidRDefault="009C45BB" w:rsidP="009C45BB">
            <w:pPr>
              <w:widowControl/>
              <w:jc w:val="right"/>
              <w:rPr>
                <w:rFonts w:ascii="Times New Roman" w:eastAsia="宋体" w:hAnsi="Times New Roman" w:cs="Times New Roman"/>
                <w:color w:val="000000"/>
                <w:kern w:val="0"/>
                <w:sz w:val="18"/>
                <w:szCs w:val="18"/>
              </w:rPr>
            </w:pPr>
            <w:r w:rsidRPr="009C45BB">
              <w:rPr>
                <w:rFonts w:ascii="Times New Roman" w:eastAsia="宋体" w:hAnsi="Times New Roman" w:cs="Times New Roman"/>
                <w:color w:val="000000"/>
                <w:kern w:val="0"/>
                <w:sz w:val="18"/>
                <w:szCs w:val="18"/>
              </w:rPr>
              <w:t>0.00</w:t>
            </w:r>
          </w:p>
        </w:tc>
      </w:tr>
    </w:tbl>
    <w:p w:rsidR="002C41CF" w:rsidRDefault="002C41CF" w:rsidP="00F16204">
      <w:pPr>
        <w:pStyle w:val="Default"/>
        <w:spacing w:line="500" w:lineRule="exact"/>
        <w:ind w:firstLineChars="250" w:firstLine="700"/>
        <w:rPr>
          <w:rFonts w:asciiTheme="minorEastAsia" w:eastAsiaTheme="minorEastAsia" w:hAnsiTheme="minorEastAsia" w:cs="仿宋_GB2312"/>
          <w:sz w:val="28"/>
          <w:szCs w:val="28"/>
        </w:rPr>
      </w:pPr>
    </w:p>
    <w:p w:rsidR="009C45BB" w:rsidRDefault="009C45BB" w:rsidP="00F16204">
      <w:pPr>
        <w:pStyle w:val="Default"/>
        <w:spacing w:line="500" w:lineRule="exact"/>
        <w:ind w:firstLineChars="250" w:firstLine="700"/>
        <w:rPr>
          <w:rFonts w:asciiTheme="minorEastAsia" w:eastAsiaTheme="minorEastAsia" w:hAnsiTheme="minorEastAsia" w:cs="仿宋_GB2312"/>
          <w:sz w:val="28"/>
          <w:szCs w:val="28"/>
        </w:rPr>
      </w:pPr>
    </w:p>
    <w:p w:rsidR="009C45BB" w:rsidRDefault="009C45BB" w:rsidP="00F16204">
      <w:pPr>
        <w:pStyle w:val="Default"/>
        <w:spacing w:line="500" w:lineRule="exact"/>
        <w:ind w:firstLineChars="250" w:firstLine="700"/>
        <w:rPr>
          <w:rFonts w:asciiTheme="minorEastAsia" w:eastAsiaTheme="minorEastAsia" w:hAnsiTheme="minorEastAsia" w:cs="仿宋_GB2312"/>
          <w:sz w:val="28"/>
          <w:szCs w:val="28"/>
        </w:rPr>
      </w:pPr>
    </w:p>
    <w:p w:rsidR="009C45BB" w:rsidRDefault="009C45BB" w:rsidP="00F16204">
      <w:pPr>
        <w:pStyle w:val="Default"/>
        <w:spacing w:line="500" w:lineRule="exact"/>
        <w:ind w:firstLineChars="250" w:firstLine="700"/>
        <w:rPr>
          <w:rFonts w:asciiTheme="minorEastAsia" w:eastAsiaTheme="minorEastAsia" w:hAnsiTheme="minorEastAsia" w:cs="仿宋_GB2312"/>
          <w:sz w:val="28"/>
          <w:szCs w:val="28"/>
        </w:rPr>
      </w:pPr>
    </w:p>
    <w:p w:rsidR="009C45BB" w:rsidRDefault="009C45BB" w:rsidP="00F16204">
      <w:pPr>
        <w:pStyle w:val="Default"/>
        <w:spacing w:line="500" w:lineRule="exact"/>
        <w:ind w:firstLineChars="250" w:firstLine="700"/>
        <w:rPr>
          <w:rFonts w:asciiTheme="minorEastAsia" w:eastAsiaTheme="minorEastAsia" w:hAnsiTheme="minorEastAsia" w:cs="仿宋_GB2312"/>
          <w:sz w:val="28"/>
          <w:szCs w:val="28"/>
        </w:rPr>
      </w:pPr>
    </w:p>
    <w:p w:rsidR="009C45BB" w:rsidRDefault="009C45BB" w:rsidP="00F16204">
      <w:pPr>
        <w:pStyle w:val="Default"/>
        <w:spacing w:line="500" w:lineRule="exact"/>
        <w:ind w:firstLineChars="250" w:firstLine="700"/>
        <w:rPr>
          <w:rFonts w:asciiTheme="minorEastAsia" w:eastAsiaTheme="minorEastAsia" w:hAnsiTheme="minorEastAsia" w:cs="仿宋_GB2312"/>
          <w:sz w:val="28"/>
          <w:szCs w:val="28"/>
        </w:rPr>
      </w:pPr>
    </w:p>
    <w:p w:rsidR="00F16204" w:rsidRPr="009C45BB" w:rsidRDefault="00F16204" w:rsidP="006D3EDD">
      <w:pPr>
        <w:pStyle w:val="Default"/>
        <w:spacing w:beforeLines="100" w:afterLines="100" w:line="500" w:lineRule="exact"/>
        <w:jc w:val="center"/>
        <w:rPr>
          <w:rFonts w:asciiTheme="minorEastAsia" w:eastAsiaTheme="minorEastAsia" w:hAnsiTheme="minorEastAsia" w:cs="仿宋_GB2312"/>
          <w:sz w:val="36"/>
          <w:szCs w:val="36"/>
        </w:rPr>
      </w:pPr>
      <w:r w:rsidRPr="009C45BB">
        <w:rPr>
          <w:rFonts w:asciiTheme="minorEastAsia" w:eastAsiaTheme="minorEastAsia" w:hAnsiTheme="minorEastAsia" w:cs="仿宋_GB2312"/>
          <w:sz w:val="36"/>
          <w:szCs w:val="36"/>
        </w:rPr>
        <w:t>三、支出决算表</w:t>
      </w:r>
    </w:p>
    <w:tbl>
      <w:tblPr>
        <w:tblW w:w="10160" w:type="dxa"/>
        <w:tblInd w:w="93" w:type="dxa"/>
        <w:tblLook w:val="04A0"/>
      </w:tblPr>
      <w:tblGrid>
        <w:gridCol w:w="396"/>
        <w:gridCol w:w="396"/>
        <w:gridCol w:w="396"/>
        <w:gridCol w:w="2671"/>
        <w:gridCol w:w="1120"/>
        <w:gridCol w:w="1120"/>
        <w:gridCol w:w="1120"/>
        <w:gridCol w:w="1120"/>
        <w:gridCol w:w="1120"/>
        <w:gridCol w:w="1120"/>
      </w:tblGrid>
      <w:tr w:rsidR="00A7029C" w:rsidRPr="00A7029C" w:rsidTr="00A7029C">
        <w:trPr>
          <w:trHeight w:val="255"/>
        </w:trPr>
        <w:tc>
          <w:tcPr>
            <w:tcW w:w="3440" w:type="dxa"/>
            <w:gridSpan w:val="4"/>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编制单位：湖南财政经济学院</w:t>
            </w:r>
          </w:p>
        </w:tc>
        <w:tc>
          <w:tcPr>
            <w:tcW w:w="11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tcBorders>
              <w:top w:val="nil"/>
              <w:left w:val="nil"/>
              <w:bottom w:val="nil"/>
              <w:right w:val="nil"/>
            </w:tcBorders>
            <w:shd w:val="clear" w:color="auto" w:fill="auto"/>
            <w:noWrap/>
            <w:vAlign w:val="bottom"/>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p>
        </w:tc>
        <w:tc>
          <w:tcPr>
            <w:tcW w:w="11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2240" w:type="dxa"/>
            <w:gridSpan w:val="2"/>
            <w:tcBorders>
              <w:top w:val="nil"/>
              <w:left w:val="nil"/>
              <w:bottom w:val="single" w:sz="4" w:space="0" w:color="000000"/>
              <w:right w:val="nil"/>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单位：万元</w:t>
            </w:r>
          </w:p>
        </w:tc>
      </w:tr>
      <w:tr w:rsidR="00A7029C" w:rsidRPr="00A7029C" w:rsidTr="00A7029C">
        <w:trPr>
          <w:trHeight w:val="308"/>
        </w:trPr>
        <w:tc>
          <w:tcPr>
            <w:tcW w:w="3440"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项目</w:t>
            </w:r>
          </w:p>
        </w:tc>
        <w:tc>
          <w:tcPr>
            <w:tcW w:w="11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本年支出合计</w:t>
            </w:r>
          </w:p>
        </w:tc>
        <w:tc>
          <w:tcPr>
            <w:tcW w:w="11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基本支出</w:t>
            </w:r>
          </w:p>
        </w:tc>
        <w:tc>
          <w:tcPr>
            <w:tcW w:w="11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项目支出</w:t>
            </w:r>
          </w:p>
        </w:tc>
        <w:tc>
          <w:tcPr>
            <w:tcW w:w="11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上缴上级支出</w:t>
            </w:r>
          </w:p>
        </w:tc>
        <w:tc>
          <w:tcPr>
            <w:tcW w:w="1120" w:type="dxa"/>
            <w:vMerge w:val="restart"/>
            <w:tcBorders>
              <w:top w:val="nil"/>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经营支出</w:t>
            </w:r>
          </w:p>
        </w:tc>
        <w:tc>
          <w:tcPr>
            <w:tcW w:w="1120" w:type="dxa"/>
            <w:vMerge w:val="restart"/>
            <w:tcBorders>
              <w:top w:val="nil"/>
              <w:left w:val="nil"/>
              <w:bottom w:val="single" w:sz="4" w:space="0" w:color="000000"/>
              <w:right w:val="single" w:sz="8"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对附属单位补助支出</w:t>
            </w:r>
          </w:p>
        </w:tc>
      </w:tr>
      <w:tr w:rsidR="00A7029C" w:rsidRPr="00A7029C" w:rsidTr="00A7029C">
        <w:trPr>
          <w:trHeight w:val="312"/>
        </w:trPr>
        <w:tc>
          <w:tcPr>
            <w:tcW w:w="769"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支出功能分类科目编码</w:t>
            </w:r>
          </w:p>
        </w:tc>
        <w:tc>
          <w:tcPr>
            <w:tcW w:w="2671" w:type="dxa"/>
            <w:vMerge w:val="restart"/>
            <w:tcBorders>
              <w:top w:val="nil"/>
              <w:left w:val="nil"/>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科目名称</w:t>
            </w: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nil"/>
              <w:left w:val="nil"/>
              <w:bottom w:val="single" w:sz="4" w:space="0" w:color="000000"/>
              <w:right w:val="single" w:sz="8"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r>
      <w:tr w:rsidR="00A7029C" w:rsidRPr="00A7029C" w:rsidTr="00A7029C">
        <w:trPr>
          <w:trHeight w:val="312"/>
        </w:trPr>
        <w:tc>
          <w:tcPr>
            <w:tcW w:w="769" w:type="dxa"/>
            <w:gridSpan w:val="3"/>
            <w:vMerge/>
            <w:tcBorders>
              <w:top w:val="nil"/>
              <w:left w:val="single" w:sz="4" w:space="0" w:color="000000"/>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2671"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nil"/>
              <w:left w:val="nil"/>
              <w:bottom w:val="single" w:sz="4" w:space="0" w:color="000000"/>
              <w:right w:val="single" w:sz="8"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r>
      <w:tr w:rsidR="00A7029C" w:rsidRPr="00A7029C" w:rsidTr="00A7029C">
        <w:trPr>
          <w:trHeight w:val="312"/>
        </w:trPr>
        <w:tc>
          <w:tcPr>
            <w:tcW w:w="769" w:type="dxa"/>
            <w:gridSpan w:val="3"/>
            <w:vMerge/>
            <w:tcBorders>
              <w:top w:val="nil"/>
              <w:left w:val="single" w:sz="4" w:space="0" w:color="000000"/>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2671"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single" w:sz="4" w:space="0" w:color="000000"/>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1120" w:type="dxa"/>
            <w:vMerge/>
            <w:tcBorders>
              <w:top w:val="nil"/>
              <w:left w:val="nil"/>
              <w:bottom w:val="single" w:sz="4" w:space="0" w:color="000000"/>
              <w:right w:val="single" w:sz="8"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r>
      <w:tr w:rsidR="00A7029C" w:rsidRPr="00A7029C" w:rsidTr="00A7029C">
        <w:trPr>
          <w:trHeight w:val="308"/>
        </w:trPr>
        <w:tc>
          <w:tcPr>
            <w:tcW w:w="25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类</w:t>
            </w:r>
          </w:p>
        </w:tc>
        <w:tc>
          <w:tcPr>
            <w:tcW w:w="256" w:type="dxa"/>
            <w:vMerge w:val="restart"/>
            <w:tcBorders>
              <w:top w:val="nil"/>
              <w:left w:val="nil"/>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款</w:t>
            </w:r>
          </w:p>
        </w:tc>
        <w:tc>
          <w:tcPr>
            <w:tcW w:w="256" w:type="dxa"/>
            <w:vMerge w:val="restart"/>
            <w:tcBorders>
              <w:top w:val="nil"/>
              <w:left w:val="nil"/>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项</w:t>
            </w:r>
          </w:p>
        </w:tc>
        <w:tc>
          <w:tcPr>
            <w:tcW w:w="2671" w:type="dxa"/>
            <w:tcBorders>
              <w:top w:val="nil"/>
              <w:left w:val="nil"/>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栏次</w:t>
            </w:r>
          </w:p>
        </w:tc>
        <w:tc>
          <w:tcPr>
            <w:tcW w:w="1120" w:type="dxa"/>
            <w:tcBorders>
              <w:top w:val="nil"/>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w:t>
            </w:r>
          </w:p>
        </w:tc>
        <w:tc>
          <w:tcPr>
            <w:tcW w:w="1120" w:type="dxa"/>
            <w:tcBorders>
              <w:top w:val="nil"/>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w:t>
            </w:r>
          </w:p>
        </w:tc>
        <w:tc>
          <w:tcPr>
            <w:tcW w:w="1120" w:type="dxa"/>
            <w:tcBorders>
              <w:top w:val="nil"/>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w:t>
            </w:r>
          </w:p>
        </w:tc>
        <w:tc>
          <w:tcPr>
            <w:tcW w:w="1120" w:type="dxa"/>
            <w:tcBorders>
              <w:top w:val="nil"/>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4</w:t>
            </w:r>
          </w:p>
        </w:tc>
        <w:tc>
          <w:tcPr>
            <w:tcW w:w="1120" w:type="dxa"/>
            <w:tcBorders>
              <w:top w:val="nil"/>
              <w:left w:val="nil"/>
              <w:bottom w:val="single" w:sz="4" w:space="0" w:color="000000"/>
              <w:right w:val="single" w:sz="4"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5</w:t>
            </w:r>
          </w:p>
        </w:tc>
        <w:tc>
          <w:tcPr>
            <w:tcW w:w="1120" w:type="dxa"/>
            <w:tcBorders>
              <w:top w:val="nil"/>
              <w:left w:val="nil"/>
              <w:bottom w:val="single" w:sz="4" w:space="0" w:color="000000"/>
              <w:right w:val="single" w:sz="8" w:space="0" w:color="000000"/>
            </w:tcBorders>
            <w:shd w:val="clear" w:color="FFFFFF" w:fill="FFFFFF"/>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6</w:t>
            </w:r>
          </w:p>
        </w:tc>
      </w:tr>
      <w:tr w:rsidR="00A7029C" w:rsidRPr="00A7029C" w:rsidTr="00A7029C">
        <w:trPr>
          <w:trHeight w:val="308"/>
        </w:trPr>
        <w:tc>
          <w:tcPr>
            <w:tcW w:w="257" w:type="dxa"/>
            <w:vMerge/>
            <w:tcBorders>
              <w:top w:val="nil"/>
              <w:left w:val="single" w:sz="4" w:space="0" w:color="000000"/>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256"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256" w:type="dxa"/>
            <w:vMerge/>
            <w:tcBorders>
              <w:top w:val="nil"/>
              <w:left w:val="nil"/>
              <w:bottom w:val="single" w:sz="4" w:space="0" w:color="000000"/>
              <w:right w:val="single" w:sz="4" w:space="0" w:color="000000"/>
            </w:tcBorders>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p>
        </w:tc>
        <w:tc>
          <w:tcPr>
            <w:tcW w:w="2671" w:type="dxa"/>
            <w:tcBorders>
              <w:top w:val="nil"/>
              <w:left w:val="nil"/>
              <w:bottom w:val="single" w:sz="4" w:space="0" w:color="000000"/>
              <w:right w:val="single" w:sz="4" w:space="0" w:color="000000"/>
            </w:tcBorders>
            <w:shd w:val="clear" w:color="FFFFFF" w:fill="FFFFFF"/>
            <w:noWrap/>
            <w:vAlign w:val="center"/>
            <w:hideMark/>
          </w:tcPr>
          <w:p w:rsidR="00A7029C" w:rsidRPr="00A7029C" w:rsidRDefault="00A7029C" w:rsidP="00A7029C">
            <w:pPr>
              <w:widowControl/>
              <w:jc w:val="center"/>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合计</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39,608.18</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26,601.24</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10,938.67</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2,068.27</w:t>
            </w:r>
          </w:p>
        </w:tc>
        <w:tc>
          <w:tcPr>
            <w:tcW w:w="1120" w:type="dxa"/>
            <w:tcBorders>
              <w:top w:val="nil"/>
              <w:left w:val="nil"/>
              <w:bottom w:val="single" w:sz="4" w:space="0" w:color="000000"/>
              <w:right w:val="single" w:sz="8"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201</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一般公共服务支出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370.00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55.00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315.00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20104</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发展与改革事务</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315.00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315.00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2010499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其他发展与改革事务支出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315.00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315.00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20106</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财政事务</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55.00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55.00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2010699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其他财政事务支出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55.00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55.00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205</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教育支出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39,138.83</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26,546.24</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10,524.32</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2,068.27</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20502</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普通教育</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39,108.42</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26,546.24</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10,493.91</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2,068.27</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2050205</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高等教育</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39,088.42</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26,546.24</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10,473.91</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000000" w:fill="FFFFFF"/>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2,068.27</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2050299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其他普通教育支出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20599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其他教育支出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30.41</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30.41</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2059999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其他教育支出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30.41</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30.41</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科学技术支出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85.35</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85.35</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20602</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基础研究</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2060203</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自然科学基金</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20606</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社会科学</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27.55</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27.55</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2060699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其他社会科学支出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27.55</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27.55</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其他科学技术支出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37.80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37.80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2069901</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科技奖励</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25.00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2069999</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其他科学技术支出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12.80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12.80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208</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社会保障和就业支出</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14.00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14.00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20807</w:t>
            </w:r>
          </w:p>
        </w:tc>
        <w:tc>
          <w:tcPr>
            <w:tcW w:w="2671"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宋体" w:eastAsia="宋体" w:hAnsi="宋体" w:cs="Times New Roman" w:hint="eastAsia"/>
                <w:color w:val="000000"/>
                <w:kern w:val="0"/>
                <w:sz w:val="18"/>
                <w:szCs w:val="18"/>
              </w:rPr>
              <w:t>就业补助</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14.00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14.00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4"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r w:rsidR="00A7029C" w:rsidRPr="00A7029C" w:rsidTr="00A7029C">
        <w:trPr>
          <w:trHeight w:val="308"/>
        </w:trPr>
        <w:tc>
          <w:tcPr>
            <w:tcW w:w="769"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2080701</w:t>
            </w:r>
          </w:p>
        </w:tc>
        <w:tc>
          <w:tcPr>
            <w:tcW w:w="2671" w:type="dxa"/>
            <w:tcBorders>
              <w:top w:val="nil"/>
              <w:left w:val="nil"/>
              <w:bottom w:val="single" w:sz="8" w:space="0" w:color="000000"/>
              <w:right w:val="single" w:sz="4" w:space="0" w:color="000000"/>
            </w:tcBorders>
            <w:shd w:val="clear" w:color="auto" w:fill="auto"/>
            <w:noWrap/>
            <w:vAlign w:val="center"/>
            <w:hideMark/>
          </w:tcPr>
          <w:p w:rsidR="00A7029C" w:rsidRPr="00A7029C" w:rsidRDefault="00A7029C" w:rsidP="00A7029C">
            <w:pPr>
              <w:widowControl/>
              <w:jc w:val="lef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 xml:space="preserve">  </w:t>
            </w:r>
            <w:r w:rsidRPr="00A7029C">
              <w:rPr>
                <w:rFonts w:ascii="宋体" w:eastAsia="宋体" w:hAnsi="宋体" w:cs="Times New Roman" w:hint="eastAsia"/>
                <w:color w:val="000000"/>
                <w:kern w:val="0"/>
                <w:sz w:val="18"/>
                <w:szCs w:val="18"/>
              </w:rPr>
              <w:t>就业创业服务补贴</w:t>
            </w:r>
          </w:p>
        </w:tc>
        <w:tc>
          <w:tcPr>
            <w:tcW w:w="1120" w:type="dxa"/>
            <w:tcBorders>
              <w:top w:val="nil"/>
              <w:left w:val="nil"/>
              <w:bottom w:val="single" w:sz="8"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14.00</w:t>
            </w:r>
          </w:p>
        </w:tc>
        <w:tc>
          <w:tcPr>
            <w:tcW w:w="1120" w:type="dxa"/>
            <w:tcBorders>
              <w:top w:val="nil"/>
              <w:left w:val="nil"/>
              <w:bottom w:val="single" w:sz="8"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8"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14.00</w:t>
            </w:r>
          </w:p>
        </w:tc>
        <w:tc>
          <w:tcPr>
            <w:tcW w:w="1120" w:type="dxa"/>
            <w:tcBorders>
              <w:top w:val="nil"/>
              <w:left w:val="nil"/>
              <w:bottom w:val="single" w:sz="8"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8" w:space="0" w:color="000000"/>
              <w:right w:val="single" w:sz="4"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c>
          <w:tcPr>
            <w:tcW w:w="1120" w:type="dxa"/>
            <w:tcBorders>
              <w:top w:val="nil"/>
              <w:left w:val="nil"/>
              <w:bottom w:val="single" w:sz="8" w:space="0" w:color="000000"/>
              <w:right w:val="single" w:sz="8" w:space="0" w:color="000000"/>
            </w:tcBorders>
            <w:shd w:val="clear" w:color="auto" w:fill="auto"/>
            <w:noWrap/>
            <w:vAlign w:val="center"/>
            <w:hideMark/>
          </w:tcPr>
          <w:p w:rsidR="00A7029C" w:rsidRPr="00A7029C" w:rsidRDefault="00A7029C" w:rsidP="00A7029C">
            <w:pPr>
              <w:widowControl/>
              <w:jc w:val="right"/>
              <w:rPr>
                <w:rFonts w:ascii="Times New Roman" w:eastAsia="宋体" w:hAnsi="Times New Roman" w:cs="Times New Roman"/>
                <w:color w:val="000000"/>
                <w:kern w:val="0"/>
                <w:sz w:val="18"/>
                <w:szCs w:val="18"/>
              </w:rPr>
            </w:pPr>
            <w:r w:rsidRPr="00A7029C">
              <w:rPr>
                <w:rFonts w:ascii="Times New Roman" w:eastAsia="宋体" w:hAnsi="Times New Roman" w:cs="Times New Roman"/>
                <w:color w:val="000000"/>
                <w:kern w:val="0"/>
                <w:sz w:val="18"/>
                <w:szCs w:val="18"/>
              </w:rPr>
              <w:t>0.00</w:t>
            </w:r>
          </w:p>
        </w:tc>
      </w:tr>
    </w:tbl>
    <w:p w:rsidR="009C45BB" w:rsidRDefault="009C45BB"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F16204">
      <w:pPr>
        <w:pStyle w:val="Default"/>
        <w:spacing w:line="500" w:lineRule="exact"/>
        <w:ind w:firstLineChars="250" w:firstLine="700"/>
        <w:rPr>
          <w:rFonts w:asciiTheme="minorEastAsia" w:eastAsiaTheme="minorEastAsia" w:hAnsiTheme="minorEastAsia" w:cs="仿宋_GB2312"/>
          <w:sz w:val="28"/>
          <w:szCs w:val="28"/>
        </w:rPr>
      </w:pPr>
    </w:p>
    <w:p w:rsidR="005D1925" w:rsidRDefault="005D1925" w:rsidP="00057D01">
      <w:pPr>
        <w:pStyle w:val="Default"/>
        <w:spacing w:line="500" w:lineRule="exact"/>
        <w:rPr>
          <w:rFonts w:asciiTheme="minorEastAsia" w:eastAsiaTheme="minorEastAsia" w:hAnsiTheme="minorEastAsia" w:cs="仿宋_GB2312"/>
          <w:sz w:val="28"/>
          <w:szCs w:val="28"/>
        </w:rPr>
      </w:pPr>
    </w:p>
    <w:p w:rsidR="00F16204" w:rsidRPr="005D1925" w:rsidRDefault="00F16204" w:rsidP="006D3EDD">
      <w:pPr>
        <w:pStyle w:val="Default"/>
        <w:spacing w:beforeLines="100" w:afterLines="100" w:line="500" w:lineRule="exact"/>
        <w:jc w:val="center"/>
        <w:rPr>
          <w:rFonts w:asciiTheme="minorEastAsia" w:eastAsiaTheme="minorEastAsia" w:hAnsiTheme="minorEastAsia" w:cs="仿宋_GB2312"/>
          <w:sz w:val="36"/>
          <w:szCs w:val="36"/>
        </w:rPr>
      </w:pPr>
      <w:r w:rsidRPr="005D1925">
        <w:rPr>
          <w:rFonts w:asciiTheme="minorEastAsia" w:eastAsiaTheme="minorEastAsia" w:hAnsiTheme="minorEastAsia" w:cs="仿宋_GB2312"/>
          <w:sz w:val="36"/>
          <w:szCs w:val="36"/>
        </w:rPr>
        <w:t>四、财政拨款收入支出决算总表</w:t>
      </w:r>
    </w:p>
    <w:tbl>
      <w:tblPr>
        <w:tblW w:w="10700" w:type="dxa"/>
        <w:tblInd w:w="93" w:type="dxa"/>
        <w:tblLook w:val="04A0"/>
      </w:tblPr>
      <w:tblGrid>
        <w:gridCol w:w="2700"/>
        <w:gridCol w:w="376"/>
        <w:gridCol w:w="1020"/>
        <w:gridCol w:w="2700"/>
        <w:gridCol w:w="376"/>
        <w:gridCol w:w="940"/>
        <w:gridCol w:w="1020"/>
        <w:gridCol w:w="820"/>
        <w:gridCol w:w="820"/>
      </w:tblGrid>
      <w:tr w:rsidR="005D1925" w:rsidRPr="005D1925" w:rsidTr="005D1925">
        <w:trPr>
          <w:trHeight w:val="225"/>
        </w:trPr>
        <w:tc>
          <w:tcPr>
            <w:tcW w:w="2700" w:type="dxa"/>
            <w:tcBorders>
              <w:top w:val="nil"/>
              <w:left w:val="nil"/>
              <w:bottom w:val="nil"/>
              <w:right w:val="nil"/>
            </w:tcBorders>
            <w:shd w:val="clear" w:color="auto" w:fill="auto"/>
            <w:noWrap/>
            <w:vAlign w:val="bottom"/>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编制单位：湖南财政经济学院</w:t>
            </w:r>
          </w:p>
        </w:tc>
        <w:tc>
          <w:tcPr>
            <w:tcW w:w="340" w:type="dxa"/>
            <w:tcBorders>
              <w:top w:val="nil"/>
              <w:left w:val="nil"/>
              <w:bottom w:val="nil"/>
              <w:right w:val="nil"/>
            </w:tcBorders>
            <w:shd w:val="clear" w:color="auto" w:fill="auto"/>
            <w:noWrap/>
            <w:vAlign w:val="bottom"/>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1020" w:type="dxa"/>
            <w:tcBorders>
              <w:top w:val="nil"/>
              <w:left w:val="nil"/>
              <w:bottom w:val="nil"/>
              <w:right w:val="nil"/>
            </w:tcBorders>
            <w:shd w:val="clear" w:color="auto" w:fill="auto"/>
            <w:noWrap/>
            <w:vAlign w:val="bottom"/>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2700" w:type="dxa"/>
            <w:tcBorders>
              <w:top w:val="nil"/>
              <w:left w:val="nil"/>
              <w:bottom w:val="nil"/>
              <w:right w:val="nil"/>
            </w:tcBorders>
            <w:shd w:val="clear" w:color="auto" w:fill="auto"/>
            <w:noWrap/>
            <w:vAlign w:val="bottom"/>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p>
        </w:tc>
        <w:tc>
          <w:tcPr>
            <w:tcW w:w="340" w:type="dxa"/>
            <w:tcBorders>
              <w:top w:val="nil"/>
              <w:left w:val="nil"/>
              <w:bottom w:val="nil"/>
              <w:right w:val="nil"/>
            </w:tcBorders>
            <w:shd w:val="clear" w:color="auto" w:fill="auto"/>
            <w:noWrap/>
            <w:vAlign w:val="bottom"/>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940" w:type="dxa"/>
            <w:tcBorders>
              <w:top w:val="nil"/>
              <w:left w:val="nil"/>
              <w:bottom w:val="nil"/>
              <w:right w:val="nil"/>
            </w:tcBorders>
            <w:shd w:val="clear" w:color="auto" w:fill="auto"/>
            <w:noWrap/>
            <w:vAlign w:val="bottom"/>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1020" w:type="dxa"/>
            <w:tcBorders>
              <w:top w:val="nil"/>
              <w:left w:val="nil"/>
              <w:bottom w:val="nil"/>
              <w:right w:val="nil"/>
            </w:tcBorders>
            <w:shd w:val="clear" w:color="auto" w:fill="auto"/>
            <w:noWrap/>
            <w:vAlign w:val="bottom"/>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p>
        </w:tc>
        <w:tc>
          <w:tcPr>
            <w:tcW w:w="1640" w:type="dxa"/>
            <w:gridSpan w:val="2"/>
            <w:tcBorders>
              <w:top w:val="nil"/>
              <w:left w:val="nil"/>
              <w:bottom w:val="single" w:sz="4" w:space="0" w:color="000000"/>
              <w:right w:val="nil"/>
            </w:tcBorders>
            <w:shd w:val="clear" w:color="auto" w:fill="auto"/>
            <w:noWrap/>
            <w:vAlign w:val="bottom"/>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单位：万元</w:t>
            </w:r>
          </w:p>
        </w:tc>
      </w:tr>
      <w:tr w:rsidR="005D1925" w:rsidRPr="005D1925" w:rsidTr="005D1925">
        <w:trPr>
          <w:trHeight w:val="308"/>
        </w:trPr>
        <w:tc>
          <w:tcPr>
            <w:tcW w:w="406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收</w:t>
            </w:r>
            <w:r w:rsidRPr="005D1925">
              <w:rPr>
                <w:rFonts w:ascii="Times New Roman" w:eastAsia="宋体" w:hAnsi="Times New Roman" w:cs="Times New Roman"/>
                <w:color w:val="000000"/>
                <w:kern w:val="0"/>
                <w:sz w:val="16"/>
                <w:szCs w:val="16"/>
              </w:rPr>
              <w:t xml:space="preserve">     </w:t>
            </w:r>
            <w:r w:rsidRPr="005D1925">
              <w:rPr>
                <w:rFonts w:ascii="宋体" w:eastAsia="宋体" w:hAnsi="宋体" w:cs="Times New Roman" w:hint="eastAsia"/>
                <w:color w:val="000000"/>
                <w:kern w:val="0"/>
                <w:sz w:val="16"/>
                <w:szCs w:val="16"/>
              </w:rPr>
              <w:t>入</w:t>
            </w:r>
          </w:p>
        </w:tc>
        <w:tc>
          <w:tcPr>
            <w:tcW w:w="6640" w:type="dxa"/>
            <w:gridSpan w:val="6"/>
            <w:tcBorders>
              <w:top w:val="single" w:sz="4" w:space="0" w:color="000000"/>
              <w:left w:val="nil"/>
              <w:bottom w:val="single" w:sz="4" w:space="0" w:color="000000"/>
              <w:right w:val="single" w:sz="8"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支</w:t>
            </w:r>
            <w:r w:rsidRPr="005D1925">
              <w:rPr>
                <w:rFonts w:ascii="Times New Roman" w:eastAsia="宋体" w:hAnsi="Times New Roman" w:cs="Times New Roman"/>
                <w:color w:val="000000"/>
                <w:kern w:val="0"/>
                <w:sz w:val="16"/>
                <w:szCs w:val="16"/>
              </w:rPr>
              <w:t xml:space="preserve">     </w:t>
            </w:r>
            <w:r w:rsidRPr="005D1925">
              <w:rPr>
                <w:rFonts w:ascii="宋体" w:eastAsia="宋体" w:hAnsi="宋体" w:cs="Times New Roman" w:hint="eastAsia"/>
                <w:color w:val="000000"/>
                <w:kern w:val="0"/>
                <w:sz w:val="16"/>
                <w:szCs w:val="16"/>
              </w:rPr>
              <w:t>出</w:t>
            </w:r>
          </w:p>
        </w:tc>
      </w:tr>
      <w:tr w:rsidR="005D1925" w:rsidRPr="005D1925" w:rsidTr="005D1925">
        <w:trPr>
          <w:trHeight w:val="312"/>
        </w:trPr>
        <w:tc>
          <w:tcPr>
            <w:tcW w:w="27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项</w:t>
            </w:r>
            <w:r w:rsidRPr="005D1925">
              <w:rPr>
                <w:rFonts w:ascii="Times New Roman" w:eastAsia="宋体" w:hAnsi="Times New Roman" w:cs="Times New Roman"/>
                <w:color w:val="000000"/>
                <w:kern w:val="0"/>
                <w:sz w:val="16"/>
                <w:szCs w:val="16"/>
              </w:rPr>
              <w:t xml:space="preserve">    </w:t>
            </w:r>
            <w:r w:rsidRPr="005D1925">
              <w:rPr>
                <w:rFonts w:ascii="宋体" w:eastAsia="宋体" w:hAnsi="宋体" w:cs="Times New Roman" w:hint="eastAsia"/>
                <w:color w:val="000000"/>
                <w:kern w:val="0"/>
                <w:sz w:val="16"/>
                <w:szCs w:val="16"/>
              </w:rPr>
              <w:t>目</w:t>
            </w:r>
          </w:p>
        </w:tc>
        <w:tc>
          <w:tcPr>
            <w:tcW w:w="340" w:type="dxa"/>
            <w:vMerge w:val="restart"/>
            <w:tcBorders>
              <w:top w:val="nil"/>
              <w:left w:val="nil"/>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行次</w:t>
            </w:r>
          </w:p>
        </w:tc>
        <w:tc>
          <w:tcPr>
            <w:tcW w:w="1020" w:type="dxa"/>
            <w:vMerge w:val="restart"/>
            <w:tcBorders>
              <w:top w:val="nil"/>
              <w:left w:val="nil"/>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决算数</w:t>
            </w:r>
          </w:p>
        </w:tc>
        <w:tc>
          <w:tcPr>
            <w:tcW w:w="2700" w:type="dxa"/>
            <w:vMerge w:val="restart"/>
            <w:tcBorders>
              <w:top w:val="nil"/>
              <w:left w:val="nil"/>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项目（按功能分类）</w:t>
            </w:r>
          </w:p>
        </w:tc>
        <w:tc>
          <w:tcPr>
            <w:tcW w:w="340" w:type="dxa"/>
            <w:vMerge w:val="restart"/>
            <w:tcBorders>
              <w:top w:val="nil"/>
              <w:left w:val="nil"/>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行次</w:t>
            </w:r>
          </w:p>
        </w:tc>
        <w:tc>
          <w:tcPr>
            <w:tcW w:w="94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宋体" w:eastAsia="宋体" w:hAnsi="宋体" w:cs="Arial"/>
                <w:color w:val="000000"/>
                <w:kern w:val="0"/>
                <w:sz w:val="16"/>
                <w:szCs w:val="16"/>
              </w:rPr>
            </w:pPr>
            <w:r w:rsidRPr="005D1925">
              <w:rPr>
                <w:rFonts w:ascii="宋体" w:eastAsia="宋体" w:hAnsi="宋体" w:cs="Arial" w:hint="eastAsia"/>
                <w:color w:val="000000"/>
                <w:kern w:val="0"/>
                <w:sz w:val="16"/>
                <w:szCs w:val="16"/>
              </w:rPr>
              <w:t>小计</w:t>
            </w:r>
          </w:p>
        </w:tc>
        <w:tc>
          <w:tcPr>
            <w:tcW w:w="102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一般公共预算财政拨款</w:t>
            </w:r>
          </w:p>
        </w:tc>
        <w:tc>
          <w:tcPr>
            <w:tcW w:w="82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政府性基金预算财政拨款</w:t>
            </w:r>
          </w:p>
        </w:tc>
        <w:tc>
          <w:tcPr>
            <w:tcW w:w="820" w:type="dxa"/>
            <w:vMerge w:val="restart"/>
            <w:tcBorders>
              <w:top w:val="nil"/>
              <w:left w:val="single" w:sz="4" w:space="0" w:color="000000"/>
              <w:bottom w:val="single" w:sz="4" w:space="0" w:color="000000"/>
              <w:right w:val="single" w:sz="8" w:space="0" w:color="000000"/>
            </w:tcBorders>
            <w:shd w:val="clear" w:color="FFFFFF" w:fill="FFFFFF"/>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国有资本经营预算财政拨款</w:t>
            </w:r>
          </w:p>
        </w:tc>
      </w:tr>
      <w:tr w:rsidR="005D1925" w:rsidRPr="005D1925" w:rsidTr="005D1925">
        <w:trPr>
          <w:trHeight w:val="615"/>
        </w:trPr>
        <w:tc>
          <w:tcPr>
            <w:tcW w:w="2700" w:type="dxa"/>
            <w:vMerge/>
            <w:tcBorders>
              <w:top w:val="nil"/>
              <w:left w:val="single" w:sz="4" w:space="0" w:color="000000"/>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340" w:type="dxa"/>
            <w:vMerge/>
            <w:tcBorders>
              <w:top w:val="nil"/>
              <w:left w:val="nil"/>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1020" w:type="dxa"/>
            <w:vMerge/>
            <w:tcBorders>
              <w:top w:val="nil"/>
              <w:left w:val="nil"/>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2700" w:type="dxa"/>
            <w:vMerge/>
            <w:tcBorders>
              <w:top w:val="nil"/>
              <w:left w:val="nil"/>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340" w:type="dxa"/>
            <w:vMerge/>
            <w:tcBorders>
              <w:top w:val="nil"/>
              <w:left w:val="nil"/>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940" w:type="dxa"/>
            <w:vMerge/>
            <w:tcBorders>
              <w:top w:val="nil"/>
              <w:left w:val="single" w:sz="4" w:space="0" w:color="000000"/>
              <w:bottom w:val="single" w:sz="4" w:space="0" w:color="000000"/>
              <w:right w:val="single" w:sz="4" w:space="0" w:color="000000"/>
            </w:tcBorders>
            <w:vAlign w:val="center"/>
            <w:hideMark/>
          </w:tcPr>
          <w:p w:rsidR="005D1925" w:rsidRPr="005D1925" w:rsidRDefault="005D1925" w:rsidP="005D1925">
            <w:pPr>
              <w:widowControl/>
              <w:jc w:val="left"/>
              <w:rPr>
                <w:rFonts w:ascii="宋体" w:eastAsia="宋体" w:hAnsi="宋体" w:cs="Arial"/>
                <w:color w:val="000000"/>
                <w:kern w:val="0"/>
                <w:sz w:val="16"/>
                <w:szCs w:val="16"/>
              </w:rPr>
            </w:pPr>
          </w:p>
        </w:tc>
        <w:tc>
          <w:tcPr>
            <w:tcW w:w="1020" w:type="dxa"/>
            <w:vMerge/>
            <w:tcBorders>
              <w:top w:val="nil"/>
              <w:left w:val="single" w:sz="4" w:space="0" w:color="000000"/>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820" w:type="dxa"/>
            <w:vMerge/>
            <w:tcBorders>
              <w:top w:val="nil"/>
              <w:left w:val="single" w:sz="4" w:space="0" w:color="000000"/>
              <w:bottom w:val="single" w:sz="4" w:space="0" w:color="000000"/>
              <w:right w:val="single" w:sz="4"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c>
          <w:tcPr>
            <w:tcW w:w="820" w:type="dxa"/>
            <w:vMerge/>
            <w:tcBorders>
              <w:top w:val="nil"/>
              <w:left w:val="single" w:sz="4" w:space="0" w:color="000000"/>
              <w:bottom w:val="single" w:sz="4" w:space="0" w:color="000000"/>
              <w:right w:val="single" w:sz="8" w:space="0" w:color="000000"/>
            </w:tcBorders>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栏</w:t>
            </w:r>
            <w:r w:rsidRPr="005D1925">
              <w:rPr>
                <w:rFonts w:ascii="Times New Roman" w:eastAsia="宋体" w:hAnsi="Times New Roman" w:cs="Times New Roman"/>
                <w:color w:val="000000"/>
                <w:kern w:val="0"/>
                <w:sz w:val="16"/>
                <w:szCs w:val="16"/>
              </w:rPr>
              <w:t xml:space="preserve">    </w:t>
            </w:r>
            <w:r w:rsidRPr="005D1925">
              <w:rPr>
                <w:rFonts w:ascii="宋体" w:eastAsia="宋体" w:hAnsi="宋体" w:cs="Times New Roman" w:hint="eastAsia"/>
                <w:color w:val="000000"/>
                <w:kern w:val="0"/>
                <w:sz w:val="16"/>
                <w:szCs w:val="16"/>
              </w:rPr>
              <w:t>次</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102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栏</w:t>
            </w:r>
            <w:r w:rsidRPr="005D1925">
              <w:rPr>
                <w:rFonts w:ascii="Times New Roman" w:eastAsia="宋体" w:hAnsi="Times New Roman" w:cs="Times New Roman"/>
                <w:color w:val="000000"/>
                <w:kern w:val="0"/>
                <w:sz w:val="16"/>
                <w:szCs w:val="16"/>
              </w:rPr>
              <w:t xml:space="preserve">    </w:t>
            </w:r>
            <w:r w:rsidRPr="005D1925">
              <w:rPr>
                <w:rFonts w:ascii="宋体" w:eastAsia="宋体" w:hAnsi="宋体" w:cs="Times New Roman" w:hint="eastAsia"/>
                <w:color w:val="000000"/>
                <w:kern w:val="0"/>
                <w:sz w:val="16"/>
                <w:szCs w:val="16"/>
              </w:rPr>
              <w:t>次</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w:t>
            </w:r>
          </w:p>
        </w:tc>
        <w:tc>
          <w:tcPr>
            <w:tcW w:w="102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w:t>
            </w:r>
          </w:p>
        </w:tc>
        <w:tc>
          <w:tcPr>
            <w:tcW w:w="82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w:t>
            </w:r>
          </w:p>
        </w:tc>
        <w:tc>
          <w:tcPr>
            <w:tcW w:w="820" w:type="dxa"/>
            <w:tcBorders>
              <w:top w:val="nil"/>
              <w:left w:val="nil"/>
              <w:bottom w:val="single" w:sz="4" w:space="0" w:color="000000"/>
              <w:right w:val="single" w:sz="8"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一、一般公共预算财政拨款</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20,014.78</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一、一般公共服务支出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33</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370.00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370.00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二、政府性基金预算财政拨款</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二、外交支出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34</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三、国有资本经营预算财政拨款</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三、国防支出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35</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四、公共安全支出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36</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五、教育支出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37</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17,268.95</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17,268.95</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6</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六、科学技术支出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38</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85.35</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85.35</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7</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七、文化旅游体育与传媒支出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39</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8</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八、社会保障和就业支出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40</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14.00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14.00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9</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九、卫生健康支出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41</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十、节能环保支出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42</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11</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十一、城乡社区支出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43</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12</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十二、农林水支出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44</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13</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十三、交通运输支出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45</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14</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十四、资源勘探工业信息等支出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46</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15</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十五、商业服务业等支出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47</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16</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十六、金融支出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48</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十七、援助其他地区支出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49</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18</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十八、自然资源海洋气象等支出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50</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19</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十九、住房保障支出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51</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二十、粮油物资储备支出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52</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21</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二十一、国有资本经营预算支出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53</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22</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二十二、灾害防治及应急管理支出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54</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23</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二十三、其他支出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55</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24</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二十四、债务还本支出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56</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b/>
                <w:bCs/>
                <w:color w:val="000000"/>
                <w:kern w:val="0"/>
                <w:sz w:val="16"/>
                <w:szCs w:val="16"/>
              </w:rPr>
            </w:pPr>
            <w:r w:rsidRPr="005D1925">
              <w:rPr>
                <w:rFonts w:ascii="Times New Roman" w:eastAsia="宋体" w:hAnsi="Times New Roman" w:cs="Times New Roman"/>
                <w:b/>
                <w:bCs/>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25</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二十五、债务付息支出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57</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26</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二十六、抗疫特别国债安排的支出</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58</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b/>
                <w:bCs/>
                <w:color w:val="000000"/>
                <w:kern w:val="0"/>
                <w:sz w:val="16"/>
                <w:szCs w:val="16"/>
              </w:rPr>
            </w:pPr>
            <w:r w:rsidRPr="005D1925">
              <w:rPr>
                <w:rFonts w:ascii="宋体" w:eastAsia="宋体" w:hAnsi="宋体" w:cs="Times New Roman" w:hint="eastAsia"/>
                <w:b/>
                <w:bCs/>
                <w:color w:val="000000"/>
                <w:kern w:val="0"/>
                <w:sz w:val="16"/>
                <w:szCs w:val="16"/>
              </w:rPr>
              <w:t>本年收入合计</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27</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20,014.78</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b/>
                <w:bCs/>
                <w:color w:val="000000"/>
                <w:kern w:val="0"/>
                <w:sz w:val="16"/>
                <w:szCs w:val="16"/>
              </w:rPr>
            </w:pPr>
            <w:r w:rsidRPr="005D1925">
              <w:rPr>
                <w:rFonts w:ascii="宋体" w:eastAsia="宋体" w:hAnsi="宋体" w:cs="Times New Roman" w:hint="eastAsia"/>
                <w:b/>
                <w:bCs/>
                <w:color w:val="000000"/>
                <w:kern w:val="0"/>
                <w:sz w:val="16"/>
                <w:szCs w:val="16"/>
              </w:rPr>
              <w:t>本年支出合计</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59</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17,738.30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17,738.30</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年初财政拨款结转和结余</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28</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174.82</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年末财政拨款结转和结余</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60</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2,451.31</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2,451.31</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一、一般公共预算财政拨款</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29</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174.82</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61</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二、政府性基金预算财政拨款</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30</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62</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r>
      <w:tr w:rsidR="005D1925" w:rsidRPr="005D1925" w:rsidTr="005D1925">
        <w:trPr>
          <w:trHeight w:val="308"/>
        </w:trPr>
        <w:tc>
          <w:tcPr>
            <w:tcW w:w="2700" w:type="dxa"/>
            <w:tcBorders>
              <w:top w:val="nil"/>
              <w:left w:val="single" w:sz="4" w:space="0" w:color="000000"/>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宋体" w:eastAsia="宋体" w:hAnsi="宋体" w:cs="Times New Roman" w:hint="eastAsia"/>
                <w:color w:val="000000"/>
                <w:kern w:val="0"/>
                <w:sz w:val="16"/>
                <w:szCs w:val="16"/>
              </w:rPr>
              <w:t>三、国有资本经营预算财政拨款</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31</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270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3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63</w:t>
            </w:r>
          </w:p>
        </w:tc>
        <w:tc>
          <w:tcPr>
            <w:tcW w:w="940" w:type="dxa"/>
            <w:tcBorders>
              <w:top w:val="nil"/>
              <w:left w:val="nil"/>
              <w:bottom w:val="single" w:sz="4"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c>
          <w:tcPr>
            <w:tcW w:w="820" w:type="dxa"/>
            <w:tcBorders>
              <w:top w:val="nil"/>
              <w:left w:val="nil"/>
              <w:bottom w:val="single" w:sz="4" w:space="0" w:color="000000"/>
              <w:right w:val="single" w:sz="8" w:space="0" w:color="000000"/>
            </w:tcBorders>
            <w:shd w:val="clear" w:color="000000" w:fill="FFFFFF"/>
            <w:noWrap/>
            <w:vAlign w:val="center"/>
            <w:hideMark/>
          </w:tcPr>
          <w:p w:rsidR="005D1925" w:rsidRPr="005D1925" w:rsidRDefault="005D1925" w:rsidP="005D1925">
            <w:pPr>
              <w:widowControl/>
              <w:jc w:val="lef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 xml:space="preserve">　</w:t>
            </w:r>
          </w:p>
        </w:tc>
      </w:tr>
      <w:tr w:rsidR="005D1925" w:rsidRPr="005D1925" w:rsidTr="005D1925">
        <w:trPr>
          <w:trHeight w:val="308"/>
        </w:trPr>
        <w:tc>
          <w:tcPr>
            <w:tcW w:w="2700" w:type="dxa"/>
            <w:tcBorders>
              <w:top w:val="nil"/>
              <w:left w:val="single" w:sz="4" w:space="0" w:color="000000"/>
              <w:bottom w:val="single" w:sz="8"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b/>
                <w:bCs/>
                <w:color w:val="000000"/>
                <w:kern w:val="0"/>
                <w:sz w:val="16"/>
                <w:szCs w:val="16"/>
              </w:rPr>
            </w:pPr>
            <w:r w:rsidRPr="005D1925">
              <w:rPr>
                <w:rFonts w:ascii="宋体" w:eastAsia="宋体" w:hAnsi="宋体" w:cs="Times New Roman" w:hint="eastAsia"/>
                <w:b/>
                <w:bCs/>
                <w:color w:val="000000"/>
                <w:kern w:val="0"/>
                <w:sz w:val="16"/>
                <w:szCs w:val="16"/>
              </w:rPr>
              <w:t>总计</w:t>
            </w:r>
          </w:p>
        </w:tc>
        <w:tc>
          <w:tcPr>
            <w:tcW w:w="340" w:type="dxa"/>
            <w:tcBorders>
              <w:top w:val="nil"/>
              <w:left w:val="nil"/>
              <w:bottom w:val="single" w:sz="8"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32</w:t>
            </w:r>
          </w:p>
        </w:tc>
        <w:tc>
          <w:tcPr>
            <w:tcW w:w="1020" w:type="dxa"/>
            <w:tcBorders>
              <w:top w:val="nil"/>
              <w:left w:val="nil"/>
              <w:bottom w:val="single" w:sz="8"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20,189.60</w:t>
            </w:r>
          </w:p>
        </w:tc>
        <w:tc>
          <w:tcPr>
            <w:tcW w:w="2700" w:type="dxa"/>
            <w:tcBorders>
              <w:top w:val="nil"/>
              <w:left w:val="nil"/>
              <w:bottom w:val="single" w:sz="8"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b/>
                <w:bCs/>
                <w:color w:val="000000"/>
                <w:kern w:val="0"/>
                <w:sz w:val="16"/>
                <w:szCs w:val="16"/>
              </w:rPr>
            </w:pPr>
            <w:r w:rsidRPr="005D1925">
              <w:rPr>
                <w:rFonts w:ascii="宋体" w:eastAsia="宋体" w:hAnsi="宋体" w:cs="Times New Roman" w:hint="eastAsia"/>
                <w:b/>
                <w:bCs/>
                <w:color w:val="000000"/>
                <w:kern w:val="0"/>
                <w:sz w:val="16"/>
                <w:szCs w:val="16"/>
              </w:rPr>
              <w:t>总计</w:t>
            </w:r>
          </w:p>
        </w:tc>
        <w:tc>
          <w:tcPr>
            <w:tcW w:w="340" w:type="dxa"/>
            <w:tcBorders>
              <w:top w:val="nil"/>
              <w:left w:val="nil"/>
              <w:bottom w:val="single" w:sz="8" w:space="0" w:color="000000"/>
              <w:right w:val="single" w:sz="4" w:space="0" w:color="000000"/>
            </w:tcBorders>
            <w:shd w:val="clear" w:color="FFFFFF" w:fill="FFFFFF"/>
            <w:noWrap/>
            <w:vAlign w:val="center"/>
            <w:hideMark/>
          </w:tcPr>
          <w:p w:rsidR="005D1925" w:rsidRPr="005D1925" w:rsidRDefault="005D1925" w:rsidP="005D1925">
            <w:pPr>
              <w:widowControl/>
              <w:jc w:val="center"/>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64</w:t>
            </w:r>
          </w:p>
        </w:tc>
        <w:tc>
          <w:tcPr>
            <w:tcW w:w="940" w:type="dxa"/>
            <w:tcBorders>
              <w:top w:val="nil"/>
              <w:left w:val="nil"/>
              <w:bottom w:val="single" w:sz="8"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20,189.60</w:t>
            </w:r>
          </w:p>
        </w:tc>
        <w:tc>
          <w:tcPr>
            <w:tcW w:w="1020" w:type="dxa"/>
            <w:tcBorders>
              <w:top w:val="nil"/>
              <w:left w:val="nil"/>
              <w:bottom w:val="single" w:sz="8"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20,189.60</w:t>
            </w:r>
          </w:p>
        </w:tc>
        <w:tc>
          <w:tcPr>
            <w:tcW w:w="820" w:type="dxa"/>
            <w:tcBorders>
              <w:top w:val="nil"/>
              <w:left w:val="nil"/>
              <w:bottom w:val="single" w:sz="8" w:space="0" w:color="000000"/>
              <w:right w:val="single" w:sz="4"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c>
          <w:tcPr>
            <w:tcW w:w="820" w:type="dxa"/>
            <w:tcBorders>
              <w:top w:val="nil"/>
              <w:left w:val="nil"/>
              <w:bottom w:val="single" w:sz="8" w:space="0" w:color="000000"/>
              <w:right w:val="single" w:sz="8" w:space="0" w:color="000000"/>
            </w:tcBorders>
            <w:shd w:val="clear" w:color="000000" w:fill="FFFFFF"/>
            <w:noWrap/>
            <w:vAlign w:val="center"/>
            <w:hideMark/>
          </w:tcPr>
          <w:p w:rsidR="005D1925" w:rsidRPr="005D1925" w:rsidRDefault="005D1925" w:rsidP="005D1925">
            <w:pPr>
              <w:widowControl/>
              <w:jc w:val="right"/>
              <w:rPr>
                <w:rFonts w:ascii="Times New Roman" w:eastAsia="宋体" w:hAnsi="Times New Roman" w:cs="Times New Roman"/>
                <w:color w:val="000000"/>
                <w:kern w:val="0"/>
                <w:sz w:val="16"/>
                <w:szCs w:val="16"/>
              </w:rPr>
            </w:pPr>
            <w:r w:rsidRPr="005D1925">
              <w:rPr>
                <w:rFonts w:ascii="Times New Roman" w:eastAsia="宋体" w:hAnsi="Times New Roman" w:cs="Times New Roman"/>
                <w:color w:val="000000"/>
                <w:kern w:val="0"/>
                <w:sz w:val="16"/>
                <w:szCs w:val="16"/>
              </w:rPr>
              <w:t>0.00</w:t>
            </w:r>
          </w:p>
        </w:tc>
      </w:tr>
    </w:tbl>
    <w:p w:rsidR="005D1925" w:rsidRPr="005D1925" w:rsidRDefault="005D1925" w:rsidP="005D1925">
      <w:pPr>
        <w:pStyle w:val="Default"/>
        <w:spacing w:line="500" w:lineRule="exact"/>
        <w:ind w:firstLineChars="250" w:firstLine="700"/>
        <w:jc w:val="center"/>
        <w:rPr>
          <w:rFonts w:asciiTheme="minorEastAsia" w:eastAsiaTheme="minorEastAsia" w:hAnsiTheme="minorEastAsia" w:cs="仿宋_GB2312"/>
          <w:sz w:val="28"/>
          <w:szCs w:val="28"/>
        </w:rPr>
      </w:pPr>
    </w:p>
    <w:p w:rsidR="00A5122C" w:rsidRDefault="00A5122C" w:rsidP="00F16204">
      <w:pPr>
        <w:pStyle w:val="Default"/>
        <w:spacing w:line="500" w:lineRule="exact"/>
        <w:ind w:firstLineChars="250" w:firstLine="700"/>
        <w:rPr>
          <w:rFonts w:asciiTheme="minorEastAsia" w:eastAsiaTheme="minorEastAsia" w:hAnsiTheme="minorEastAsia" w:cs="仿宋_GB2312"/>
          <w:sz w:val="28"/>
          <w:szCs w:val="28"/>
        </w:rPr>
      </w:pPr>
    </w:p>
    <w:p w:rsidR="00A5122C" w:rsidRDefault="00A5122C" w:rsidP="006D3EDD">
      <w:pPr>
        <w:pStyle w:val="Default"/>
        <w:spacing w:beforeLines="100" w:afterLines="100" w:line="500" w:lineRule="exact"/>
        <w:ind w:firstLineChars="250" w:firstLine="700"/>
        <w:jc w:val="center"/>
        <w:rPr>
          <w:rFonts w:asciiTheme="minorEastAsia" w:eastAsiaTheme="minorEastAsia" w:hAnsiTheme="minorEastAsia" w:cs="仿宋_GB2312"/>
          <w:sz w:val="28"/>
          <w:szCs w:val="28"/>
        </w:rPr>
      </w:pPr>
    </w:p>
    <w:p w:rsidR="00F16204" w:rsidRPr="00A5122C" w:rsidRDefault="00F16204" w:rsidP="006D3EDD">
      <w:pPr>
        <w:pStyle w:val="Default"/>
        <w:spacing w:beforeLines="100" w:afterLines="100" w:line="500" w:lineRule="exact"/>
        <w:ind w:firstLineChars="250" w:firstLine="900"/>
        <w:jc w:val="center"/>
        <w:rPr>
          <w:rFonts w:asciiTheme="minorEastAsia" w:eastAsiaTheme="minorEastAsia" w:hAnsiTheme="minorEastAsia" w:cs="仿宋_GB2312"/>
          <w:sz w:val="36"/>
          <w:szCs w:val="36"/>
        </w:rPr>
      </w:pPr>
      <w:r w:rsidRPr="00A5122C">
        <w:rPr>
          <w:rFonts w:asciiTheme="minorEastAsia" w:eastAsiaTheme="minorEastAsia" w:hAnsiTheme="minorEastAsia" w:cs="仿宋_GB2312"/>
          <w:sz w:val="36"/>
          <w:szCs w:val="36"/>
        </w:rPr>
        <w:t>五、一般公共预算财政拨款支出决算表</w:t>
      </w:r>
    </w:p>
    <w:tbl>
      <w:tblPr>
        <w:tblW w:w="10060" w:type="dxa"/>
        <w:tblInd w:w="93" w:type="dxa"/>
        <w:tblLook w:val="04A0"/>
      </w:tblPr>
      <w:tblGrid>
        <w:gridCol w:w="416"/>
        <w:gridCol w:w="416"/>
        <w:gridCol w:w="416"/>
        <w:gridCol w:w="3160"/>
        <w:gridCol w:w="1960"/>
        <w:gridCol w:w="1960"/>
        <w:gridCol w:w="1960"/>
      </w:tblGrid>
      <w:tr w:rsidR="00A5122C" w:rsidRPr="00A5122C" w:rsidTr="00A5122C">
        <w:trPr>
          <w:trHeight w:val="255"/>
        </w:trPr>
        <w:tc>
          <w:tcPr>
            <w:tcW w:w="4180" w:type="dxa"/>
            <w:gridSpan w:val="4"/>
            <w:tcBorders>
              <w:top w:val="nil"/>
              <w:left w:val="nil"/>
              <w:bottom w:val="nil"/>
              <w:right w:val="nil"/>
            </w:tcBorders>
            <w:shd w:val="clear" w:color="auto" w:fill="auto"/>
            <w:noWrap/>
            <w:vAlign w:val="bottom"/>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编制单位：湖南财政经济学院</w:t>
            </w:r>
          </w:p>
        </w:tc>
        <w:tc>
          <w:tcPr>
            <w:tcW w:w="1960" w:type="dxa"/>
            <w:tcBorders>
              <w:top w:val="nil"/>
              <w:left w:val="nil"/>
              <w:bottom w:val="nil"/>
              <w:right w:val="nil"/>
            </w:tcBorders>
            <w:shd w:val="clear" w:color="auto" w:fill="auto"/>
            <w:noWrap/>
            <w:vAlign w:val="bottom"/>
            <w:hideMark/>
          </w:tcPr>
          <w:p w:rsidR="00A5122C" w:rsidRPr="00A5122C" w:rsidRDefault="00A5122C" w:rsidP="00A5122C">
            <w:pPr>
              <w:widowControl/>
              <w:jc w:val="center"/>
              <w:rPr>
                <w:rFonts w:ascii="宋体" w:eastAsia="宋体" w:hAnsi="宋体" w:cs="Arial"/>
                <w:color w:val="000000"/>
                <w:kern w:val="0"/>
                <w:sz w:val="20"/>
                <w:szCs w:val="20"/>
              </w:rPr>
            </w:pPr>
          </w:p>
        </w:tc>
        <w:tc>
          <w:tcPr>
            <w:tcW w:w="1960" w:type="dxa"/>
            <w:tcBorders>
              <w:top w:val="nil"/>
              <w:left w:val="nil"/>
              <w:bottom w:val="nil"/>
              <w:right w:val="nil"/>
            </w:tcBorders>
            <w:shd w:val="clear" w:color="auto" w:fill="auto"/>
            <w:noWrap/>
            <w:vAlign w:val="bottom"/>
            <w:hideMark/>
          </w:tcPr>
          <w:p w:rsidR="00A5122C" w:rsidRPr="00A5122C" w:rsidRDefault="00A5122C" w:rsidP="00A5122C">
            <w:pPr>
              <w:widowControl/>
              <w:jc w:val="left"/>
              <w:rPr>
                <w:rFonts w:ascii="Arial" w:eastAsia="宋体" w:hAnsi="Arial" w:cs="Arial"/>
                <w:color w:val="000000"/>
                <w:kern w:val="0"/>
                <w:sz w:val="20"/>
                <w:szCs w:val="20"/>
              </w:rPr>
            </w:pPr>
          </w:p>
        </w:tc>
        <w:tc>
          <w:tcPr>
            <w:tcW w:w="1960" w:type="dxa"/>
            <w:tcBorders>
              <w:top w:val="nil"/>
              <w:left w:val="nil"/>
              <w:bottom w:val="nil"/>
              <w:right w:val="nil"/>
            </w:tcBorders>
            <w:shd w:val="clear" w:color="auto" w:fill="auto"/>
            <w:noWrap/>
            <w:vAlign w:val="bottom"/>
            <w:hideMark/>
          </w:tcPr>
          <w:p w:rsidR="00A5122C" w:rsidRPr="00A5122C" w:rsidRDefault="00A5122C" w:rsidP="00A5122C">
            <w:pPr>
              <w:widowControl/>
              <w:jc w:val="righ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单位：万元</w:t>
            </w:r>
          </w:p>
        </w:tc>
      </w:tr>
      <w:tr w:rsidR="00A5122C" w:rsidRPr="00A5122C" w:rsidTr="00A5122C">
        <w:trPr>
          <w:trHeight w:val="308"/>
        </w:trPr>
        <w:tc>
          <w:tcPr>
            <w:tcW w:w="4180"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项目</w:t>
            </w:r>
          </w:p>
        </w:tc>
        <w:tc>
          <w:tcPr>
            <w:tcW w:w="588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本年支出</w:t>
            </w:r>
          </w:p>
        </w:tc>
      </w:tr>
      <w:tr w:rsidR="00A5122C" w:rsidRPr="00A5122C" w:rsidTr="00A5122C">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支出功能分类科目编码</w:t>
            </w:r>
          </w:p>
        </w:tc>
        <w:tc>
          <w:tcPr>
            <w:tcW w:w="3160" w:type="dxa"/>
            <w:vMerge w:val="restart"/>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科目名称</w:t>
            </w:r>
          </w:p>
        </w:tc>
        <w:tc>
          <w:tcPr>
            <w:tcW w:w="1960" w:type="dxa"/>
            <w:vMerge w:val="restart"/>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合计</w:t>
            </w:r>
          </w:p>
        </w:tc>
        <w:tc>
          <w:tcPr>
            <w:tcW w:w="196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基本支出</w:t>
            </w:r>
          </w:p>
        </w:tc>
        <w:tc>
          <w:tcPr>
            <w:tcW w:w="1960" w:type="dxa"/>
            <w:vMerge w:val="restart"/>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项目支出</w:t>
            </w:r>
          </w:p>
        </w:tc>
      </w:tr>
      <w:tr w:rsidR="00A5122C" w:rsidRPr="00A5122C" w:rsidTr="00A5122C">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316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196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1960" w:type="dxa"/>
            <w:vMerge/>
            <w:tcBorders>
              <w:top w:val="nil"/>
              <w:left w:val="single" w:sz="4" w:space="0" w:color="000000"/>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196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r>
      <w:tr w:rsidR="00A5122C" w:rsidRPr="00A5122C" w:rsidTr="00A5122C">
        <w:trPr>
          <w:trHeight w:val="615"/>
        </w:trPr>
        <w:tc>
          <w:tcPr>
            <w:tcW w:w="1020" w:type="dxa"/>
            <w:gridSpan w:val="3"/>
            <w:vMerge/>
            <w:tcBorders>
              <w:top w:val="nil"/>
              <w:left w:val="single" w:sz="4" w:space="0" w:color="000000"/>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316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196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1960" w:type="dxa"/>
            <w:vMerge/>
            <w:tcBorders>
              <w:top w:val="nil"/>
              <w:left w:val="single" w:sz="4" w:space="0" w:color="000000"/>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196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r>
      <w:tr w:rsidR="00A5122C" w:rsidRPr="00A5122C" w:rsidTr="00A5122C">
        <w:trPr>
          <w:trHeight w:val="308"/>
        </w:trPr>
        <w:tc>
          <w:tcPr>
            <w:tcW w:w="34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类</w:t>
            </w:r>
          </w:p>
        </w:tc>
        <w:tc>
          <w:tcPr>
            <w:tcW w:w="340" w:type="dxa"/>
            <w:vMerge w:val="restart"/>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款</w:t>
            </w:r>
          </w:p>
        </w:tc>
        <w:tc>
          <w:tcPr>
            <w:tcW w:w="340" w:type="dxa"/>
            <w:vMerge w:val="restart"/>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项</w:t>
            </w:r>
          </w:p>
        </w:tc>
        <w:tc>
          <w:tcPr>
            <w:tcW w:w="3160" w:type="dxa"/>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栏次</w:t>
            </w:r>
          </w:p>
        </w:tc>
        <w:tc>
          <w:tcPr>
            <w:tcW w:w="1960" w:type="dxa"/>
            <w:tcBorders>
              <w:top w:val="nil"/>
              <w:left w:val="nil"/>
              <w:bottom w:val="single" w:sz="4" w:space="0" w:color="000000"/>
              <w:right w:val="single" w:sz="4" w:space="0" w:color="000000"/>
            </w:tcBorders>
            <w:shd w:val="clear" w:color="FFFFFF" w:fill="FFFFFF"/>
            <w:noWrap/>
            <w:vAlign w:val="center"/>
            <w:hideMark/>
          </w:tcPr>
          <w:p w:rsidR="00A5122C" w:rsidRPr="009824C1" w:rsidRDefault="00A5122C" w:rsidP="00A5122C">
            <w:pPr>
              <w:widowControl/>
              <w:jc w:val="center"/>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w:t>
            </w:r>
          </w:p>
        </w:tc>
        <w:tc>
          <w:tcPr>
            <w:tcW w:w="1960" w:type="dxa"/>
            <w:tcBorders>
              <w:top w:val="nil"/>
              <w:left w:val="nil"/>
              <w:bottom w:val="single" w:sz="4" w:space="0" w:color="000000"/>
              <w:right w:val="single" w:sz="4" w:space="0" w:color="000000"/>
            </w:tcBorders>
            <w:shd w:val="clear" w:color="FFFFFF" w:fill="FFFFFF"/>
            <w:noWrap/>
            <w:vAlign w:val="center"/>
            <w:hideMark/>
          </w:tcPr>
          <w:p w:rsidR="00A5122C" w:rsidRPr="009824C1" w:rsidRDefault="00A5122C" w:rsidP="00A5122C">
            <w:pPr>
              <w:widowControl/>
              <w:jc w:val="center"/>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w:t>
            </w:r>
          </w:p>
        </w:tc>
        <w:tc>
          <w:tcPr>
            <w:tcW w:w="1960" w:type="dxa"/>
            <w:tcBorders>
              <w:top w:val="nil"/>
              <w:left w:val="nil"/>
              <w:bottom w:val="single" w:sz="4" w:space="0" w:color="000000"/>
              <w:right w:val="single" w:sz="4" w:space="0" w:color="000000"/>
            </w:tcBorders>
            <w:shd w:val="clear" w:color="FFFFFF" w:fill="FFFFFF"/>
            <w:noWrap/>
            <w:vAlign w:val="center"/>
            <w:hideMark/>
          </w:tcPr>
          <w:p w:rsidR="00A5122C" w:rsidRPr="009824C1" w:rsidRDefault="00A5122C" w:rsidP="00A5122C">
            <w:pPr>
              <w:widowControl/>
              <w:jc w:val="center"/>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w:t>
            </w:r>
          </w:p>
        </w:tc>
      </w:tr>
      <w:tr w:rsidR="00A5122C" w:rsidRPr="00A5122C" w:rsidTr="00A5122C">
        <w:trPr>
          <w:trHeight w:val="308"/>
        </w:trPr>
        <w:tc>
          <w:tcPr>
            <w:tcW w:w="340" w:type="dxa"/>
            <w:vMerge/>
            <w:tcBorders>
              <w:top w:val="nil"/>
              <w:left w:val="single" w:sz="4" w:space="0" w:color="000000"/>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34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340" w:type="dxa"/>
            <w:vMerge/>
            <w:tcBorders>
              <w:top w:val="nil"/>
              <w:left w:val="nil"/>
              <w:bottom w:val="single" w:sz="4" w:space="0" w:color="000000"/>
              <w:right w:val="single" w:sz="4" w:space="0" w:color="000000"/>
            </w:tcBorders>
            <w:vAlign w:val="center"/>
            <w:hideMark/>
          </w:tcPr>
          <w:p w:rsidR="00A5122C" w:rsidRPr="00A5122C" w:rsidRDefault="00A5122C" w:rsidP="00A5122C">
            <w:pPr>
              <w:widowControl/>
              <w:jc w:val="left"/>
              <w:rPr>
                <w:rFonts w:ascii="宋体" w:eastAsia="宋体" w:hAnsi="宋体" w:cs="Arial"/>
                <w:color w:val="000000"/>
                <w:kern w:val="0"/>
                <w:sz w:val="20"/>
                <w:szCs w:val="20"/>
              </w:rPr>
            </w:pPr>
          </w:p>
        </w:tc>
        <w:tc>
          <w:tcPr>
            <w:tcW w:w="3160" w:type="dxa"/>
            <w:tcBorders>
              <w:top w:val="nil"/>
              <w:left w:val="nil"/>
              <w:bottom w:val="single" w:sz="4" w:space="0" w:color="000000"/>
              <w:right w:val="single" w:sz="4" w:space="0" w:color="000000"/>
            </w:tcBorders>
            <w:shd w:val="clear" w:color="FFFFFF" w:fill="FFFFFF"/>
            <w:vAlign w:val="center"/>
            <w:hideMark/>
          </w:tcPr>
          <w:p w:rsidR="00A5122C" w:rsidRPr="00A5122C" w:rsidRDefault="00A5122C" w:rsidP="00A5122C">
            <w:pPr>
              <w:widowControl/>
              <w:jc w:val="center"/>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合计</w:t>
            </w:r>
          </w:p>
        </w:tc>
        <w:tc>
          <w:tcPr>
            <w:tcW w:w="1960" w:type="dxa"/>
            <w:tcBorders>
              <w:top w:val="nil"/>
              <w:left w:val="nil"/>
              <w:bottom w:val="single" w:sz="4" w:space="0" w:color="000000"/>
              <w:right w:val="single" w:sz="4" w:space="0" w:color="000000"/>
            </w:tcBorders>
            <w:shd w:val="clear" w:color="000000" w:fill="FFFFFF"/>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17,738.30</w:t>
            </w:r>
          </w:p>
        </w:tc>
        <w:tc>
          <w:tcPr>
            <w:tcW w:w="1960" w:type="dxa"/>
            <w:tcBorders>
              <w:top w:val="nil"/>
              <w:left w:val="nil"/>
              <w:bottom w:val="single" w:sz="4" w:space="0" w:color="000000"/>
              <w:right w:val="single" w:sz="4" w:space="0" w:color="000000"/>
            </w:tcBorders>
            <w:shd w:val="clear" w:color="000000" w:fill="FFFFFF"/>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11,642.21</w:t>
            </w:r>
          </w:p>
        </w:tc>
        <w:tc>
          <w:tcPr>
            <w:tcW w:w="1960" w:type="dxa"/>
            <w:tcBorders>
              <w:top w:val="nil"/>
              <w:left w:val="nil"/>
              <w:bottom w:val="single" w:sz="4" w:space="0" w:color="000000"/>
              <w:right w:val="single" w:sz="4" w:space="0" w:color="000000"/>
            </w:tcBorders>
            <w:shd w:val="clear" w:color="000000" w:fill="FFFFFF"/>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6,096.09</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201</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一般公共服务支出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370.00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315.00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20104</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发展与改革事务</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315.00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315.00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2010499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其他发展与改革事务支出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315.00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315.00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20106</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财政事务</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2010699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其他财政事务支出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205</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教育支出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17,268.95</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11,587.21</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5,681.74</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20502</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普通教育</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17,238.54</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11,587.21</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5,651.33</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2050205</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高等教育</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17,218.54</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11,587.21</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5,631.33</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2050299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其他普通教育支出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20599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其他教育支出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30.41</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30.41</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2059999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其他教育支出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30.41</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30.41</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科学技术支出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85.35</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85.35</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20602</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基础研究</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2060203</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自然科学基金</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20603</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应用研究</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2060303</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高技术研究</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20605</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科技条件与服务</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2060599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其他科技条件与服务支出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20606</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社会科学</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27.55</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27.55</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2060699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其他社会科学支出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27.55</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27.55</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其他科学技术支出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37.80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37.80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2069901</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科技奖励</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25.00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25.00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2069999</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其他科学技术支出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12.80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12.80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208</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社会保障和就业支出</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14.00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14.00</w:t>
            </w:r>
          </w:p>
        </w:tc>
      </w:tr>
      <w:tr w:rsidR="00A5122C" w:rsidRPr="00A5122C" w:rsidTr="00A5122C">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20807</w:t>
            </w:r>
          </w:p>
        </w:tc>
        <w:tc>
          <w:tcPr>
            <w:tcW w:w="3160" w:type="dxa"/>
            <w:tcBorders>
              <w:top w:val="nil"/>
              <w:left w:val="nil"/>
              <w:bottom w:val="single" w:sz="4"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就业补助</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14.00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14.00</w:t>
            </w:r>
          </w:p>
        </w:tc>
      </w:tr>
      <w:tr w:rsidR="00A5122C" w:rsidRPr="00A5122C" w:rsidTr="00A5122C">
        <w:trPr>
          <w:trHeight w:val="308"/>
        </w:trPr>
        <w:tc>
          <w:tcPr>
            <w:tcW w:w="1020"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A5122C" w:rsidRPr="009824C1" w:rsidRDefault="00A5122C" w:rsidP="00A5122C">
            <w:pPr>
              <w:widowControl/>
              <w:jc w:val="lef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2080701</w:t>
            </w:r>
          </w:p>
        </w:tc>
        <w:tc>
          <w:tcPr>
            <w:tcW w:w="3160" w:type="dxa"/>
            <w:tcBorders>
              <w:top w:val="nil"/>
              <w:left w:val="nil"/>
              <w:bottom w:val="single" w:sz="8" w:space="0" w:color="000000"/>
              <w:right w:val="single" w:sz="4" w:space="0" w:color="000000"/>
            </w:tcBorders>
            <w:shd w:val="clear" w:color="auto" w:fill="auto"/>
            <w:noWrap/>
            <w:vAlign w:val="center"/>
            <w:hideMark/>
          </w:tcPr>
          <w:p w:rsidR="00A5122C" w:rsidRPr="00A5122C" w:rsidRDefault="00A5122C" w:rsidP="00A5122C">
            <w:pPr>
              <w:widowControl/>
              <w:jc w:val="left"/>
              <w:rPr>
                <w:rFonts w:ascii="宋体" w:eastAsia="宋体" w:hAnsi="宋体" w:cs="Arial"/>
                <w:color w:val="000000"/>
                <w:kern w:val="0"/>
                <w:sz w:val="20"/>
                <w:szCs w:val="20"/>
              </w:rPr>
            </w:pPr>
            <w:r w:rsidRPr="00A5122C">
              <w:rPr>
                <w:rFonts w:ascii="宋体" w:eastAsia="宋体" w:hAnsi="宋体" w:cs="Arial" w:hint="eastAsia"/>
                <w:color w:val="000000"/>
                <w:kern w:val="0"/>
                <w:sz w:val="20"/>
                <w:szCs w:val="20"/>
              </w:rPr>
              <w:t xml:space="preserve">  就业创业服务补贴</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14.00</w:t>
            </w:r>
          </w:p>
        </w:tc>
        <w:tc>
          <w:tcPr>
            <w:tcW w:w="1960" w:type="dxa"/>
            <w:tcBorders>
              <w:top w:val="nil"/>
              <w:left w:val="nil"/>
              <w:bottom w:val="single" w:sz="8"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0.00</w:t>
            </w:r>
          </w:p>
        </w:tc>
        <w:tc>
          <w:tcPr>
            <w:tcW w:w="1960" w:type="dxa"/>
            <w:tcBorders>
              <w:top w:val="nil"/>
              <w:left w:val="nil"/>
              <w:bottom w:val="single" w:sz="4" w:space="0" w:color="000000"/>
              <w:right w:val="single" w:sz="4" w:space="0" w:color="000000"/>
            </w:tcBorders>
            <w:shd w:val="clear" w:color="auto" w:fill="auto"/>
            <w:noWrap/>
            <w:vAlign w:val="center"/>
            <w:hideMark/>
          </w:tcPr>
          <w:p w:rsidR="00A5122C" w:rsidRPr="009824C1" w:rsidRDefault="00A5122C" w:rsidP="00A5122C">
            <w:pPr>
              <w:widowControl/>
              <w:jc w:val="right"/>
              <w:rPr>
                <w:rFonts w:ascii="Times New Roman" w:eastAsia="宋体" w:hAnsi="Times New Roman" w:cs="Times New Roman"/>
                <w:color w:val="000000"/>
                <w:kern w:val="0"/>
                <w:sz w:val="20"/>
                <w:szCs w:val="20"/>
              </w:rPr>
            </w:pPr>
            <w:r w:rsidRPr="009824C1">
              <w:rPr>
                <w:rFonts w:ascii="Times New Roman" w:eastAsia="宋体" w:hAnsi="Times New Roman" w:cs="Times New Roman"/>
                <w:color w:val="000000"/>
                <w:kern w:val="0"/>
                <w:sz w:val="20"/>
                <w:szCs w:val="20"/>
              </w:rPr>
              <w:t>14.00</w:t>
            </w:r>
          </w:p>
        </w:tc>
      </w:tr>
    </w:tbl>
    <w:p w:rsidR="00A5122C" w:rsidRPr="00A5122C" w:rsidRDefault="00A5122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5122C" w:rsidRDefault="00A5122C" w:rsidP="00F16204">
      <w:pPr>
        <w:pStyle w:val="Default"/>
        <w:spacing w:line="500" w:lineRule="exact"/>
        <w:ind w:firstLineChars="250" w:firstLine="700"/>
        <w:rPr>
          <w:rFonts w:asciiTheme="minorEastAsia" w:eastAsiaTheme="minorEastAsia" w:hAnsiTheme="minorEastAsia" w:cs="仿宋_GB2312"/>
          <w:sz w:val="28"/>
          <w:szCs w:val="28"/>
        </w:rPr>
      </w:pPr>
    </w:p>
    <w:p w:rsidR="00A5122C" w:rsidRDefault="00A5122C" w:rsidP="00F16204">
      <w:pPr>
        <w:pStyle w:val="Default"/>
        <w:spacing w:line="500" w:lineRule="exact"/>
        <w:ind w:firstLineChars="250" w:firstLine="700"/>
        <w:rPr>
          <w:rFonts w:asciiTheme="minorEastAsia" w:eastAsiaTheme="minorEastAsia" w:hAnsiTheme="minorEastAsia" w:cs="仿宋_GB2312"/>
          <w:sz w:val="28"/>
          <w:szCs w:val="28"/>
        </w:rPr>
      </w:pPr>
    </w:p>
    <w:p w:rsidR="00A5122C" w:rsidRDefault="00A5122C" w:rsidP="00F16204">
      <w:pPr>
        <w:pStyle w:val="Default"/>
        <w:spacing w:line="500" w:lineRule="exact"/>
        <w:ind w:firstLineChars="250" w:firstLine="700"/>
        <w:rPr>
          <w:rFonts w:asciiTheme="minorEastAsia" w:eastAsiaTheme="minorEastAsia" w:hAnsiTheme="minorEastAsia" w:cs="仿宋_GB2312"/>
          <w:sz w:val="28"/>
          <w:szCs w:val="28"/>
        </w:rPr>
      </w:pPr>
    </w:p>
    <w:p w:rsidR="00A5122C" w:rsidRDefault="00A5122C" w:rsidP="00F16204">
      <w:pPr>
        <w:pStyle w:val="Default"/>
        <w:spacing w:line="500" w:lineRule="exact"/>
        <w:ind w:firstLineChars="250" w:firstLine="700"/>
        <w:rPr>
          <w:rFonts w:asciiTheme="minorEastAsia" w:eastAsiaTheme="minorEastAsia" w:hAnsiTheme="minorEastAsia" w:cs="仿宋_GB2312"/>
          <w:sz w:val="28"/>
          <w:szCs w:val="28"/>
        </w:rPr>
      </w:pPr>
    </w:p>
    <w:p w:rsidR="00A7029C" w:rsidRDefault="00A7029C" w:rsidP="006D3EDD">
      <w:pPr>
        <w:pStyle w:val="Default"/>
        <w:spacing w:beforeLines="100" w:afterLines="100" w:line="500" w:lineRule="exact"/>
        <w:ind w:firstLineChars="250" w:firstLine="700"/>
        <w:jc w:val="center"/>
        <w:rPr>
          <w:rFonts w:asciiTheme="minorEastAsia" w:eastAsiaTheme="minorEastAsia" w:hAnsiTheme="minorEastAsia" w:cs="仿宋_GB2312"/>
          <w:sz w:val="28"/>
          <w:szCs w:val="28"/>
        </w:rPr>
      </w:pPr>
    </w:p>
    <w:p w:rsidR="00A5122C" w:rsidRPr="00A7029C" w:rsidRDefault="00F16204" w:rsidP="006D3EDD">
      <w:pPr>
        <w:pStyle w:val="Default"/>
        <w:spacing w:beforeLines="100" w:afterLines="100" w:line="500" w:lineRule="exact"/>
        <w:ind w:firstLineChars="250" w:firstLine="900"/>
        <w:jc w:val="center"/>
        <w:rPr>
          <w:rFonts w:asciiTheme="minorEastAsia" w:eastAsiaTheme="minorEastAsia" w:hAnsiTheme="minorEastAsia" w:cs="仿宋_GB2312"/>
          <w:sz w:val="36"/>
          <w:szCs w:val="36"/>
        </w:rPr>
      </w:pPr>
      <w:r w:rsidRPr="00A7029C">
        <w:rPr>
          <w:rFonts w:asciiTheme="minorEastAsia" w:eastAsiaTheme="minorEastAsia" w:hAnsiTheme="minorEastAsia" w:cs="仿宋_GB2312"/>
          <w:sz w:val="36"/>
          <w:szCs w:val="36"/>
        </w:rPr>
        <w:t>六、一般公共预算财政拨款基本支出决算表</w:t>
      </w:r>
    </w:p>
    <w:tbl>
      <w:tblPr>
        <w:tblW w:w="10460" w:type="dxa"/>
        <w:tblInd w:w="93" w:type="dxa"/>
        <w:tblLook w:val="04A0"/>
      </w:tblPr>
      <w:tblGrid>
        <w:gridCol w:w="600"/>
        <w:gridCol w:w="2380"/>
        <w:gridCol w:w="920"/>
        <w:gridCol w:w="600"/>
        <w:gridCol w:w="1760"/>
        <w:gridCol w:w="920"/>
        <w:gridCol w:w="600"/>
        <w:gridCol w:w="2122"/>
        <w:gridCol w:w="558"/>
      </w:tblGrid>
      <w:tr w:rsidR="00A7029C" w:rsidRPr="00A7029C" w:rsidTr="00A7029C">
        <w:trPr>
          <w:trHeight w:val="225"/>
        </w:trPr>
        <w:tc>
          <w:tcPr>
            <w:tcW w:w="2980" w:type="dxa"/>
            <w:gridSpan w:val="2"/>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编制单位：湖南财政经济学院</w:t>
            </w:r>
          </w:p>
        </w:tc>
        <w:tc>
          <w:tcPr>
            <w:tcW w:w="9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p>
        </w:tc>
        <w:tc>
          <w:tcPr>
            <w:tcW w:w="60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p>
        </w:tc>
        <w:tc>
          <w:tcPr>
            <w:tcW w:w="176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p>
        </w:tc>
        <w:tc>
          <w:tcPr>
            <w:tcW w:w="9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p>
        </w:tc>
        <w:tc>
          <w:tcPr>
            <w:tcW w:w="60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p>
        </w:tc>
        <w:tc>
          <w:tcPr>
            <w:tcW w:w="2680" w:type="dxa"/>
            <w:gridSpan w:val="2"/>
            <w:tcBorders>
              <w:top w:val="nil"/>
              <w:left w:val="nil"/>
              <w:bottom w:val="single" w:sz="4" w:space="0" w:color="auto"/>
              <w:right w:val="nil"/>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单位：万元</w:t>
            </w:r>
          </w:p>
        </w:tc>
      </w:tr>
      <w:tr w:rsidR="00A7029C" w:rsidRPr="00A7029C" w:rsidTr="00A7029C">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经济分类科目编码</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Times New Roman" w:eastAsia="宋体" w:hAnsi="Times New Roman" w:cs="Times New Roman"/>
                <w:kern w:val="0"/>
                <w:sz w:val="14"/>
                <w:szCs w:val="14"/>
              </w:rPr>
            </w:pPr>
            <w:r w:rsidRPr="00A7029C">
              <w:rPr>
                <w:rFonts w:ascii="宋体" w:eastAsia="宋体" w:hAnsi="宋体" w:cs="Times New Roman" w:hint="eastAsia"/>
                <w:kern w:val="0"/>
                <w:sz w:val="14"/>
                <w:szCs w:val="14"/>
              </w:rPr>
              <w:t>科目名称</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Times New Roman" w:eastAsia="宋体" w:hAnsi="Times New Roman" w:cs="Times New Roman"/>
                <w:kern w:val="0"/>
                <w:sz w:val="14"/>
                <w:szCs w:val="14"/>
              </w:rPr>
            </w:pPr>
            <w:r w:rsidRPr="00A7029C">
              <w:rPr>
                <w:rFonts w:ascii="宋体" w:eastAsia="宋体" w:hAnsi="宋体" w:cs="Times New Roman" w:hint="eastAsia"/>
                <w:kern w:val="0"/>
                <w:sz w:val="14"/>
                <w:szCs w:val="14"/>
              </w:rPr>
              <w:t>决算数</w:t>
            </w:r>
          </w:p>
        </w:tc>
        <w:tc>
          <w:tcPr>
            <w:tcW w:w="600" w:type="dxa"/>
            <w:tcBorders>
              <w:top w:val="single" w:sz="4" w:space="0" w:color="auto"/>
              <w:left w:val="nil"/>
              <w:bottom w:val="single" w:sz="4" w:space="0" w:color="auto"/>
              <w:right w:val="single" w:sz="4" w:space="0" w:color="auto"/>
            </w:tcBorders>
            <w:shd w:val="clear" w:color="auto" w:fill="auto"/>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经济分类科目编码</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Times New Roman" w:eastAsia="宋体" w:hAnsi="Times New Roman" w:cs="Times New Roman"/>
                <w:kern w:val="0"/>
                <w:sz w:val="14"/>
                <w:szCs w:val="14"/>
              </w:rPr>
            </w:pPr>
            <w:r w:rsidRPr="00A7029C">
              <w:rPr>
                <w:rFonts w:ascii="宋体" w:eastAsia="宋体" w:hAnsi="宋体" w:cs="Times New Roman" w:hint="eastAsia"/>
                <w:kern w:val="0"/>
                <w:sz w:val="14"/>
                <w:szCs w:val="14"/>
              </w:rPr>
              <w:t>科目名称</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Times New Roman" w:eastAsia="宋体" w:hAnsi="Times New Roman" w:cs="Times New Roman"/>
                <w:kern w:val="0"/>
                <w:sz w:val="14"/>
                <w:szCs w:val="14"/>
              </w:rPr>
            </w:pPr>
            <w:r w:rsidRPr="00A7029C">
              <w:rPr>
                <w:rFonts w:ascii="宋体" w:eastAsia="宋体" w:hAnsi="宋体" w:cs="Times New Roman" w:hint="eastAsia"/>
                <w:kern w:val="0"/>
                <w:sz w:val="14"/>
                <w:szCs w:val="14"/>
              </w:rPr>
              <w:t>决算数</w:t>
            </w:r>
          </w:p>
        </w:tc>
        <w:tc>
          <w:tcPr>
            <w:tcW w:w="600" w:type="dxa"/>
            <w:tcBorders>
              <w:top w:val="single" w:sz="4" w:space="0" w:color="auto"/>
              <w:left w:val="nil"/>
              <w:bottom w:val="single" w:sz="4" w:space="0" w:color="auto"/>
              <w:right w:val="single" w:sz="4" w:space="0" w:color="auto"/>
            </w:tcBorders>
            <w:shd w:val="clear" w:color="auto" w:fill="auto"/>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经济分类科目编码</w:t>
            </w:r>
          </w:p>
        </w:tc>
        <w:tc>
          <w:tcPr>
            <w:tcW w:w="2122"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Times New Roman" w:eastAsia="宋体" w:hAnsi="Times New Roman" w:cs="Times New Roman"/>
                <w:kern w:val="0"/>
                <w:sz w:val="14"/>
                <w:szCs w:val="14"/>
              </w:rPr>
            </w:pPr>
            <w:r w:rsidRPr="00A7029C">
              <w:rPr>
                <w:rFonts w:ascii="宋体" w:eastAsia="宋体" w:hAnsi="宋体" w:cs="Times New Roman" w:hint="eastAsia"/>
                <w:kern w:val="0"/>
                <w:sz w:val="14"/>
                <w:szCs w:val="14"/>
              </w:rPr>
              <w:t>科目名称</w:t>
            </w:r>
          </w:p>
        </w:tc>
        <w:tc>
          <w:tcPr>
            <w:tcW w:w="558"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Times New Roman" w:eastAsia="宋体" w:hAnsi="Times New Roman" w:cs="Times New Roman"/>
                <w:kern w:val="0"/>
                <w:sz w:val="14"/>
                <w:szCs w:val="14"/>
              </w:rPr>
            </w:pPr>
            <w:r w:rsidRPr="00A7029C">
              <w:rPr>
                <w:rFonts w:ascii="宋体" w:eastAsia="宋体" w:hAnsi="宋体" w:cs="Times New Roman" w:hint="eastAsia"/>
                <w:kern w:val="0"/>
                <w:sz w:val="14"/>
                <w:szCs w:val="14"/>
              </w:rPr>
              <w:t>决算数</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301</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工资福利支出</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11,205.00</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302</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商品和服务支出</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55.00</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资本性支出</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30101</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基本工资</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3,630.05</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30201</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办公费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31001</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房屋建筑物购建</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30102</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津贴补贴</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30202</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印刷费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31002</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办公设备购置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30103</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奖金</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1,389.72</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30203</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咨询费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31003</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专用设备购置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30106</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伙食补助费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30204</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手续费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31005</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基础设施建设</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30107</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绩效工资</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5,033.33</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30205</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水费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31006</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大型修缮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30108</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机关事业单位基本养老保险缴费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514.71</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30206</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电费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31007</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信息网络及软件购置更新</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30109</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职业年金缴费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30207</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邮电费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31013</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公务用车购置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30110</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职工基本医疗保险缴费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200.00</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30208</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取暖费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31019</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其他交通工具购置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30111</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公务员医疗补助缴费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30209</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物业管理费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31021</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文物和陈列品购置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30112</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其他社会保障缴费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30211</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差旅费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31022</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无形资产购置</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30113</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住房公积金</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437.19</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30212</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因公出国（境）费用</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31099</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其他资本性支出</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30114</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医疗费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30213</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维修</w:t>
            </w:r>
            <w:r w:rsidRPr="00A7029C">
              <w:rPr>
                <w:rFonts w:ascii="Times New Roman" w:eastAsia="宋体" w:hAnsi="Times New Roman" w:cs="Times New Roman"/>
                <w:color w:val="000000"/>
                <w:kern w:val="0"/>
                <w:sz w:val="14"/>
                <w:szCs w:val="14"/>
              </w:rPr>
              <w:t>(</w:t>
            </w:r>
            <w:r w:rsidRPr="00A7029C">
              <w:rPr>
                <w:rFonts w:ascii="宋体" w:eastAsia="宋体" w:hAnsi="宋体" w:cs="Times New Roman" w:hint="eastAsia"/>
                <w:color w:val="000000"/>
                <w:kern w:val="0"/>
                <w:sz w:val="14"/>
                <w:szCs w:val="14"/>
              </w:rPr>
              <w:t>护</w:t>
            </w:r>
            <w:r w:rsidRPr="00A7029C">
              <w:rPr>
                <w:rFonts w:ascii="Times New Roman" w:eastAsia="宋体" w:hAnsi="Times New Roman" w:cs="Times New Roman"/>
                <w:color w:val="000000"/>
                <w:kern w:val="0"/>
                <w:sz w:val="14"/>
                <w:szCs w:val="14"/>
              </w:rPr>
              <w:t>)</w:t>
            </w:r>
            <w:r w:rsidRPr="00A7029C">
              <w:rPr>
                <w:rFonts w:ascii="宋体" w:eastAsia="宋体" w:hAnsi="宋体" w:cs="Times New Roman" w:hint="eastAsia"/>
                <w:color w:val="000000"/>
                <w:kern w:val="0"/>
                <w:sz w:val="14"/>
                <w:szCs w:val="14"/>
              </w:rPr>
              <w:t>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399</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其他支出</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30199</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其他工资福利支出</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30214</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租赁费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538ED5"/>
                <w:kern w:val="0"/>
                <w:sz w:val="14"/>
                <w:szCs w:val="14"/>
              </w:rPr>
            </w:pPr>
            <w:r w:rsidRPr="00A7029C">
              <w:rPr>
                <w:rFonts w:ascii="Times New Roman" w:eastAsia="宋体" w:hAnsi="Times New Roman" w:cs="Times New Roman"/>
                <w:color w:val="538ED5"/>
                <w:kern w:val="0"/>
                <w:sz w:val="14"/>
                <w:szCs w:val="14"/>
              </w:rPr>
              <w:t>303</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对个人和家庭的补助</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382.21</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30215</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会议费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30301</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离休费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112.62</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30216</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培训费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30302</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退休费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30217</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公务接待费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30303</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退职（役）费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30218</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专用材料费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55.00</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30304</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抚恤金</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30226</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劳务费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30305</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生活补助</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269.59</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30227</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委托业务费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30306</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救济费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30228</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工会经费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30307</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医疗费补助</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30229</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福利费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30308</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助学金</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30231</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公务用车运行维护费</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30309</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奖励金</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30239</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其他交通费用</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30399</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其他对个人和家庭的补助支出</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30240</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税金及附加费用</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38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FF"/>
                <w:kern w:val="0"/>
                <w:sz w:val="14"/>
                <w:szCs w:val="14"/>
              </w:rPr>
            </w:pPr>
            <w:r w:rsidRPr="00A7029C">
              <w:rPr>
                <w:rFonts w:ascii="Times New Roman" w:eastAsia="宋体" w:hAnsi="Times New Roman" w:cs="Times New Roman"/>
                <w:color w:val="0000FF"/>
                <w:kern w:val="0"/>
                <w:sz w:val="14"/>
                <w:szCs w:val="14"/>
              </w:rPr>
              <w:t>30299</w:t>
            </w:r>
          </w:p>
        </w:tc>
        <w:tc>
          <w:tcPr>
            <w:tcW w:w="176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r w:rsidRPr="00A7029C">
              <w:rPr>
                <w:rFonts w:ascii="宋体" w:eastAsia="宋体" w:hAnsi="宋体" w:cs="Times New Roman" w:hint="eastAsia"/>
                <w:color w:val="000000"/>
                <w:kern w:val="0"/>
                <w:sz w:val="14"/>
                <w:szCs w:val="14"/>
              </w:rPr>
              <w:t>其他商品和服务支出</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0.00 </w:t>
            </w:r>
          </w:p>
        </w:tc>
        <w:tc>
          <w:tcPr>
            <w:tcW w:w="60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　</w:t>
            </w:r>
          </w:p>
        </w:tc>
      </w:tr>
      <w:tr w:rsidR="00A7029C" w:rsidRPr="00A7029C" w:rsidTr="00A7029C">
        <w:trPr>
          <w:trHeight w:val="225"/>
        </w:trPr>
        <w:tc>
          <w:tcPr>
            <w:tcW w:w="2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029C" w:rsidRPr="00A7029C" w:rsidRDefault="00A7029C" w:rsidP="00A7029C">
            <w:pPr>
              <w:widowControl/>
              <w:jc w:val="center"/>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人员经费合计</w:t>
            </w:r>
          </w:p>
        </w:tc>
        <w:tc>
          <w:tcPr>
            <w:tcW w:w="9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right"/>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11,587.21 </w:t>
            </w:r>
          </w:p>
        </w:tc>
        <w:tc>
          <w:tcPr>
            <w:tcW w:w="3880" w:type="dxa"/>
            <w:gridSpan w:val="4"/>
            <w:tcBorders>
              <w:top w:val="single" w:sz="4" w:space="0" w:color="auto"/>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center"/>
              <w:rPr>
                <w:rFonts w:ascii="Times New Roman" w:eastAsia="宋体" w:hAnsi="Times New Roman" w:cs="Times New Roman"/>
                <w:color w:val="000000"/>
                <w:kern w:val="0"/>
                <w:sz w:val="14"/>
                <w:szCs w:val="14"/>
              </w:rPr>
            </w:pPr>
            <w:r w:rsidRPr="00A7029C">
              <w:rPr>
                <w:rFonts w:ascii="宋体" w:eastAsia="宋体" w:hAnsi="宋体" w:cs="Times New Roman" w:hint="eastAsia"/>
                <w:color w:val="000000"/>
                <w:kern w:val="0"/>
                <w:sz w:val="14"/>
                <w:szCs w:val="14"/>
              </w:rPr>
              <w:t>公用经费合计</w:t>
            </w:r>
          </w:p>
        </w:tc>
        <w:tc>
          <w:tcPr>
            <w:tcW w:w="26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29C" w:rsidRPr="00A7029C" w:rsidRDefault="00A7029C" w:rsidP="00A7029C">
            <w:pPr>
              <w:widowControl/>
              <w:jc w:val="center"/>
              <w:rPr>
                <w:rFonts w:ascii="Times New Roman" w:eastAsia="宋体" w:hAnsi="Times New Roman" w:cs="Times New Roman"/>
                <w:color w:val="000000"/>
                <w:kern w:val="0"/>
                <w:sz w:val="14"/>
                <w:szCs w:val="14"/>
              </w:rPr>
            </w:pPr>
            <w:r w:rsidRPr="00A7029C">
              <w:rPr>
                <w:rFonts w:ascii="Times New Roman" w:eastAsia="宋体" w:hAnsi="Times New Roman" w:cs="Times New Roman"/>
                <w:color w:val="000000"/>
                <w:kern w:val="0"/>
                <w:sz w:val="14"/>
                <w:szCs w:val="14"/>
              </w:rPr>
              <w:t xml:space="preserve">55.00 </w:t>
            </w:r>
          </w:p>
        </w:tc>
      </w:tr>
    </w:tbl>
    <w:p w:rsidR="00A5122C" w:rsidRDefault="00A5122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5122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057D01">
      <w:pPr>
        <w:pStyle w:val="Default"/>
        <w:spacing w:line="500" w:lineRule="exact"/>
        <w:ind w:firstLineChars="250" w:firstLine="700"/>
        <w:rPr>
          <w:rFonts w:asciiTheme="minorEastAsia" w:eastAsiaTheme="minorEastAsia" w:hAnsiTheme="minorEastAsia" w:cs="仿宋_GB2312"/>
          <w:sz w:val="28"/>
          <w:szCs w:val="28"/>
        </w:rPr>
      </w:pPr>
    </w:p>
    <w:p w:rsidR="00F16204" w:rsidRPr="00A7029C" w:rsidRDefault="00F16204" w:rsidP="006D3EDD">
      <w:pPr>
        <w:pStyle w:val="Default"/>
        <w:spacing w:beforeLines="100" w:afterLines="100" w:line="500" w:lineRule="exact"/>
        <w:jc w:val="center"/>
        <w:rPr>
          <w:rFonts w:asciiTheme="minorEastAsia" w:eastAsiaTheme="minorEastAsia" w:hAnsiTheme="minorEastAsia" w:cs="仿宋_GB2312"/>
          <w:sz w:val="36"/>
          <w:szCs w:val="36"/>
        </w:rPr>
      </w:pPr>
      <w:r w:rsidRPr="00A7029C">
        <w:rPr>
          <w:rFonts w:asciiTheme="minorEastAsia" w:eastAsiaTheme="minorEastAsia" w:hAnsiTheme="minorEastAsia" w:cs="仿宋_GB2312"/>
          <w:sz w:val="36"/>
          <w:szCs w:val="36"/>
        </w:rPr>
        <w:t>七、一般公共预算财政拨款“三公”经费支出决算表</w:t>
      </w:r>
    </w:p>
    <w:tbl>
      <w:tblPr>
        <w:tblW w:w="9840" w:type="dxa"/>
        <w:tblInd w:w="93" w:type="dxa"/>
        <w:tblLook w:val="04A0"/>
      </w:tblPr>
      <w:tblGrid>
        <w:gridCol w:w="669"/>
        <w:gridCol w:w="1127"/>
        <w:gridCol w:w="668"/>
        <w:gridCol w:w="816"/>
        <w:gridCol w:w="820"/>
        <w:gridCol w:w="820"/>
        <w:gridCol w:w="820"/>
        <w:gridCol w:w="820"/>
        <w:gridCol w:w="820"/>
        <w:gridCol w:w="820"/>
        <w:gridCol w:w="820"/>
        <w:gridCol w:w="820"/>
      </w:tblGrid>
      <w:tr w:rsidR="00A7029C" w:rsidRPr="00A7029C" w:rsidTr="00A7029C">
        <w:trPr>
          <w:trHeight w:val="255"/>
        </w:trPr>
        <w:tc>
          <w:tcPr>
            <w:tcW w:w="3280" w:type="dxa"/>
            <w:gridSpan w:val="4"/>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编制单位：湖南财政经济学院</w:t>
            </w:r>
          </w:p>
        </w:tc>
        <w:tc>
          <w:tcPr>
            <w:tcW w:w="8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1640" w:type="dxa"/>
            <w:gridSpan w:val="2"/>
            <w:tcBorders>
              <w:top w:val="nil"/>
              <w:left w:val="nil"/>
              <w:bottom w:val="single" w:sz="4" w:space="0" w:color="auto"/>
              <w:right w:val="nil"/>
            </w:tcBorders>
            <w:shd w:val="clear" w:color="auto" w:fill="auto"/>
            <w:noWrap/>
            <w:vAlign w:val="bottom"/>
            <w:hideMark/>
          </w:tcPr>
          <w:p w:rsidR="00A7029C" w:rsidRPr="00A7029C" w:rsidRDefault="00A7029C" w:rsidP="00A7029C">
            <w:pPr>
              <w:widowControl/>
              <w:jc w:val="righ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单位：万元</w:t>
            </w:r>
          </w:p>
        </w:tc>
      </w:tr>
      <w:tr w:rsidR="00A7029C" w:rsidRPr="00A7029C" w:rsidTr="00A7029C">
        <w:trPr>
          <w:trHeight w:val="255"/>
        </w:trPr>
        <w:tc>
          <w:tcPr>
            <w:tcW w:w="4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预算数</w:t>
            </w:r>
          </w:p>
        </w:tc>
        <w:tc>
          <w:tcPr>
            <w:tcW w:w="4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决算数</w:t>
            </w:r>
          </w:p>
        </w:tc>
      </w:tr>
      <w:tr w:rsidR="00A7029C" w:rsidRPr="00A7029C" w:rsidTr="00A7029C">
        <w:trPr>
          <w:trHeight w:val="255"/>
        </w:trPr>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合计</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因公出国（境）费</w:t>
            </w:r>
          </w:p>
        </w:tc>
        <w:tc>
          <w:tcPr>
            <w:tcW w:w="2304"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公务用车购置及运行费</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公务接待费</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合计</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因公出国（境）费</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公务用车购置及运行费</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公务接待费</w:t>
            </w:r>
          </w:p>
        </w:tc>
      </w:tr>
      <w:tr w:rsidR="00A7029C" w:rsidRPr="00A7029C" w:rsidTr="00A7029C">
        <w:trPr>
          <w:trHeight w:val="480"/>
        </w:trPr>
        <w:tc>
          <w:tcPr>
            <w:tcW w:w="669" w:type="dxa"/>
            <w:vMerge/>
            <w:tcBorders>
              <w:top w:val="nil"/>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c>
          <w:tcPr>
            <w:tcW w:w="668"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小计</w:t>
            </w:r>
          </w:p>
        </w:tc>
        <w:tc>
          <w:tcPr>
            <w:tcW w:w="816" w:type="dxa"/>
            <w:tcBorders>
              <w:top w:val="nil"/>
              <w:left w:val="nil"/>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公务用车购置费</w:t>
            </w:r>
          </w:p>
        </w:tc>
        <w:tc>
          <w:tcPr>
            <w:tcW w:w="820" w:type="dxa"/>
            <w:tcBorders>
              <w:top w:val="nil"/>
              <w:left w:val="nil"/>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公务用车运行费</w:t>
            </w:r>
          </w:p>
        </w:tc>
        <w:tc>
          <w:tcPr>
            <w:tcW w:w="820" w:type="dxa"/>
            <w:vMerge/>
            <w:tcBorders>
              <w:top w:val="nil"/>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小计</w:t>
            </w:r>
          </w:p>
        </w:tc>
        <w:tc>
          <w:tcPr>
            <w:tcW w:w="820" w:type="dxa"/>
            <w:tcBorders>
              <w:top w:val="nil"/>
              <w:left w:val="nil"/>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公务用车购置费</w:t>
            </w:r>
          </w:p>
        </w:tc>
        <w:tc>
          <w:tcPr>
            <w:tcW w:w="820" w:type="dxa"/>
            <w:tcBorders>
              <w:top w:val="nil"/>
              <w:left w:val="nil"/>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公务用车运行费</w:t>
            </w:r>
          </w:p>
        </w:tc>
        <w:tc>
          <w:tcPr>
            <w:tcW w:w="820" w:type="dxa"/>
            <w:vMerge/>
            <w:tcBorders>
              <w:top w:val="nil"/>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r>
      <w:tr w:rsidR="00A7029C" w:rsidRPr="00A7029C" w:rsidTr="00A7029C">
        <w:trPr>
          <w:trHeight w:val="255"/>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1</w:t>
            </w:r>
          </w:p>
        </w:tc>
        <w:tc>
          <w:tcPr>
            <w:tcW w:w="1127"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2</w:t>
            </w:r>
          </w:p>
        </w:tc>
        <w:tc>
          <w:tcPr>
            <w:tcW w:w="668"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3</w:t>
            </w:r>
          </w:p>
        </w:tc>
        <w:tc>
          <w:tcPr>
            <w:tcW w:w="816"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4</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5</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6</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7</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8</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9</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10</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11</w:t>
            </w:r>
          </w:p>
        </w:tc>
        <w:tc>
          <w:tcPr>
            <w:tcW w:w="82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12</w:t>
            </w:r>
          </w:p>
        </w:tc>
      </w:tr>
      <w:tr w:rsidR="00A7029C" w:rsidRPr="00A7029C" w:rsidTr="00A7029C">
        <w:trPr>
          <w:trHeight w:val="73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668"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16"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c>
          <w:tcPr>
            <w:tcW w:w="82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r w:rsidR="00A14615">
              <w:rPr>
                <w:rFonts w:ascii="Arial" w:eastAsia="宋体" w:hAnsi="Arial" w:cs="Arial" w:hint="eastAsia"/>
                <w:color w:val="000000"/>
                <w:kern w:val="0"/>
                <w:sz w:val="20"/>
                <w:szCs w:val="20"/>
              </w:rPr>
              <w:t>0</w:t>
            </w:r>
          </w:p>
        </w:tc>
      </w:tr>
      <w:tr w:rsidR="00A7029C" w:rsidRPr="00A7029C" w:rsidTr="00A7029C">
        <w:trPr>
          <w:trHeight w:val="315"/>
        </w:trPr>
        <w:tc>
          <w:tcPr>
            <w:tcW w:w="9840" w:type="dxa"/>
            <w:gridSpan w:val="12"/>
            <w:vMerge w:val="restart"/>
            <w:tcBorders>
              <w:top w:val="single" w:sz="4" w:space="0" w:color="auto"/>
              <w:left w:val="nil"/>
              <w:bottom w:val="nil"/>
              <w:right w:val="nil"/>
            </w:tcBorders>
            <w:shd w:val="clear" w:color="auto" w:fill="auto"/>
            <w:vAlign w:val="bottom"/>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注：本表反映部门年度“三公”经费支出预决算情况。其中，预算数为“三公”经费年初预算数，决算数是包括当年一般公共预算财政拨款和以前年度结转资金安排的实际支出。</w:t>
            </w:r>
          </w:p>
        </w:tc>
      </w:tr>
      <w:tr w:rsidR="00A7029C" w:rsidRPr="00A7029C" w:rsidTr="00A7029C">
        <w:trPr>
          <w:trHeight w:val="360"/>
        </w:trPr>
        <w:tc>
          <w:tcPr>
            <w:tcW w:w="9840" w:type="dxa"/>
            <w:gridSpan w:val="12"/>
            <w:vMerge/>
            <w:tcBorders>
              <w:top w:val="single" w:sz="4" w:space="0" w:color="auto"/>
              <w:left w:val="nil"/>
              <w:bottom w:val="nil"/>
              <w:right w:val="nil"/>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r>
    </w:tbl>
    <w:p w:rsidR="00A7029C" w:rsidRP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A7029C" w:rsidRPr="00A7029C" w:rsidRDefault="00A7029C" w:rsidP="00A7029C">
      <w:pPr>
        <w:pStyle w:val="Default"/>
        <w:spacing w:line="500" w:lineRule="exact"/>
        <w:ind w:firstLineChars="250" w:firstLine="700"/>
        <w:jc w:val="center"/>
        <w:rPr>
          <w:rFonts w:asciiTheme="minorEastAsia" w:eastAsiaTheme="minorEastAsia" w:hAnsiTheme="minorEastAsia" w:cs="仿宋_GB2312"/>
          <w:sz w:val="28"/>
          <w:szCs w:val="28"/>
        </w:rPr>
      </w:pPr>
    </w:p>
    <w:p w:rsidR="00F16204" w:rsidRPr="00A7029C" w:rsidRDefault="00F16204" w:rsidP="006D3EDD">
      <w:pPr>
        <w:pStyle w:val="Default"/>
        <w:spacing w:beforeLines="100" w:afterLines="100" w:line="500" w:lineRule="exact"/>
        <w:jc w:val="center"/>
        <w:rPr>
          <w:rFonts w:asciiTheme="minorEastAsia" w:eastAsiaTheme="minorEastAsia" w:hAnsiTheme="minorEastAsia" w:cs="仿宋_GB2312"/>
          <w:sz w:val="36"/>
          <w:szCs w:val="36"/>
        </w:rPr>
      </w:pPr>
      <w:r w:rsidRPr="00A7029C">
        <w:rPr>
          <w:rFonts w:asciiTheme="minorEastAsia" w:eastAsiaTheme="minorEastAsia" w:hAnsiTheme="minorEastAsia" w:cs="仿宋_GB2312"/>
          <w:sz w:val="36"/>
          <w:szCs w:val="36"/>
        </w:rPr>
        <w:t>八、政府性基金预算财政拨款收入支出决算表</w:t>
      </w:r>
    </w:p>
    <w:tbl>
      <w:tblPr>
        <w:tblW w:w="9920" w:type="dxa"/>
        <w:tblInd w:w="93" w:type="dxa"/>
        <w:tblLook w:val="04A0"/>
      </w:tblPr>
      <w:tblGrid>
        <w:gridCol w:w="1189"/>
        <w:gridCol w:w="1342"/>
        <w:gridCol w:w="1189"/>
        <w:gridCol w:w="1240"/>
        <w:gridCol w:w="1240"/>
        <w:gridCol w:w="1240"/>
        <w:gridCol w:w="1240"/>
        <w:gridCol w:w="1240"/>
      </w:tblGrid>
      <w:tr w:rsidR="00A7029C" w:rsidRPr="00A7029C" w:rsidTr="00A7029C">
        <w:trPr>
          <w:trHeight w:val="255"/>
        </w:trPr>
        <w:tc>
          <w:tcPr>
            <w:tcW w:w="3720" w:type="dxa"/>
            <w:gridSpan w:val="3"/>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编制单位：湖南财政经济学院</w:t>
            </w:r>
          </w:p>
        </w:tc>
        <w:tc>
          <w:tcPr>
            <w:tcW w:w="124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单位：万元</w:t>
            </w:r>
          </w:p>
        </w:tc>
      </w:tr>
      <w:tr w:rsidR="00A7029C" w:rsidRPr="00A7029C" w:rsidTr="00A7029C">
        <w:trPr>
          <w:trHeight w:val="255"/>
        </w:trPr>
        <w:tc>
          <w:tcPr>
            <w:tcW w:w="25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项目</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年初结转和结余</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3720"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本年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年末结转与结余</w:t>
            </w:r>
          </w:p>
        </w:tc>
      </w:tr>
      <w:tr w:rsidR="00A7029C" w:rsidRPr="00A7029C" w:rsidTr="00A7029C">
        <w:trPr>
          <w:trHeight w:val="480"/>
        </w:trPr>
        <w:tc>
          <w:tcPr>
            <w:tcW w:w="1189" w:type="dxa"/>
            <w:tcBorders>
              <w:top w:val="nil"/>
              <w:left w:val="single" w:sz="4" w:space="0" w:color="auto"/>
              <w:bottom w:val="single" w:sz="4" w:space="0" w:color="auto"/>
              <w:right w:val="single" w:sz="4" w:space="0" w:color="auto"/>
            </w:tcBorders>
            <w:shd w:val="clear" w:color="auto" w:fill="auto"/>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功能分类科目编码</w:t>
            </w:r>
          </w:p>
        </w:tc>
        <w:tc>
          <w:tcPr>
            <w:tcW w:w="1342"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科目名称</w:t>
            </w: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本年收入</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小计</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基本支出</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项目支出</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r>
      <w:tr w:rsidR="00A7029C" w:rsidRPr="00A7029C" w:rsidTr="00A7029C">
        <w:trPr>
          <w:trHeight w:val="255"/>
        </w:trPr>
        <w:tc>
          <w:tcPr>
            <w:tcW w:w="2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栏次</w:t>
            </w:r>
          </w:p>
        </w:tc>
        <w:tc>
          <w:tcPr>
            <w:tcW w:w="1189"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3</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5</w:t>
            </w:r>
          </w:p>
        </w:tc>
        <w:tc>
          <w:tcPr>
            <w:tcW w:w="1240" w:type="dxa"/>
            <w:tcBorders>
              <w:top w:val="nil"/>
              <w:left w:val="nil"/>
              <w:bottom w:val="single" w:sz="4" w:space="0" w:color="auto"/>
              <w:right w:val="single" w:sz="4" w:space="0" w:color="auto"/>
            </w:tcBorders>
            <w:shd w:val="clear" w:color="auto" w:fill="auto"/>
            <w:noWrap/>
            <w:vAlign w:val="center"/>
            <w:hideMark/>
          </w:tcPr>
          <w:p w:rsidR="00A7029C" w:rsidRPr="00A7029C" w:rsidRDefault="00A7029C" w:rsidP="00A7029C">
            <w:pPr>
              <w:widowControl/>
              <w:jc w:val="center"/>
              <w:rPr>
                <w:rFonts w:ascii="Arial" w:eastAsia="宋体" w:hAnsi="Arial" w:cs="Arial"/>
                <w:color w:val="000000"/>
                <w:kern w:val="0"/>
                <w:sz w:val="20"/>
                <w:szCs w:val="20"/>
              </w:rPr>
            </w:pPr>
            <w:r w:rsidRPr="00A7029C">
              <w:rPr>
                <w:rFonts w:ascii="Arial" w:eastAsia="宋体" w:hAnsi="Arial" w:cs="Arial"/>
                <w:color w:val="000000"/>
                <w:kern w:val="0"/>
                <w:sz w:val="20"/>
                <w:szCs w:val="20"/>
              </w:rPr>
              <w:t>6</w:t>
            </w:r>
          </w:p>
        </w:tc>
      </w:tr>
      <w:tr w:rsidR="00A7029C" w:rsidRPr="00A7029C" w:rsidTr="00A7029C">
        <w:trPr>
          <w:trHeight w:val="255"/>
        </w:trPr>
        <w:tc>
          <w:tcPr>
            <w:tcW w:w="2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center"/>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合计</w:t>
            </w:r>
          </w:p>
        </w:tc>
        <w:tc>
          <w:tcPr>
            <w:tcW w:w="1189"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r>
      <w:tr w:rsidR="00A7029C" w:rsidRPr="00A7029C" w:rsidTr="00A702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34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r>
      <w:tr w:rsidR="00A7029C" w:rsidRPr="00A7029C" w:rsidTr="00A702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34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r>
      <w:tr w:rsidR="00A7029C" w:rsidRPr="00A7029C" w:rsidTr="00A702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34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r>
      <w:tr w:rsidR="00A7029C" w:rsidRPr="00A7029C" w:rsidTr="00A702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34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r>
      <w:tr w:rsidR="00A7029C" w:rsidRPr="00A7029C" w:rsidTr="00A702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342"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7029C" w:rsidRPr="00A7029C" w:rsidRDefault="00A7029C" w:rsidP="00A7029C">
            <w:pPr>
              <w:widowControl/>
              <w:jc w:val="left"/>
              <w:rPr>
                <w:rFonts w:ascii="Arial" w:eastAsia="宋体" w:hAnsi="Arial" w:cs="Arial"/>
                <w:color w:val="000000"/>
                <w:kern w:val="0"/>
                <w:sz w:val="20"/>
                <w:szCs w:val="20"/>
              </w:rPr>
            </w:pPr>
            <w:r w:rsidRPr="00A7029C">
              <w:rPr>
                <w:rFonts w:ascii="Arial" w:eastAsia="宋体" w:hAnsi="Arial" w:cs="Arial"/>
                <w:color w:val="000000"/>
                <w:kern w:val="0"/>
                <w:sz w:val="20"/>
                <w:szCs w:val="20"/>
              </w:rPr>
              <w:t xml:space="preserve">　</w:t>
            </w:r>
          </w:p>
        </w:tc>
      </w:tr>
      <w:tr w:rsidR="00A7029C" w:rsidRPr="00A7029C" w:rsidTr="00A7029C">
        <w:trPr>
          <w:trHeight w:val="312"/>
        </w:trPr>
        <w:tc>
          <w:tcPr>
            <w:tcW w:w="9920" w:type="dxa"/>
            <w:gridSpan w:val="8"/>
            <w:vMerge w:val="restart"/>
            <w:tcBorders>
              <w:top w:val="single" w:sz="4" w:space="0" w:color="auto"/>
              <w:left w:val="nil"/>
              <w:bottom w:val="nil"/>
              <w:right w:val="nil"/>
            </w:tcBorders>
            <w:shd w:val="clear" w:color="auto" w:fill="auto"/>
            <w:vAlign w:val="bottom"/>
            <w:hideMark/>
          </w:tcPr>
          <w:p w:rsidR="00A7029C" w:rsidRPr="00A7029C" w:rsidRDefault="00A7029C" w:rsidP="00941668">
            <w:pPr>
              <w:widowControl/>
              <w:jc w:val="left"/>
              <w:rPr>
                <w:rFonts w:ascii="宋体" w:eastAsia="宋体" w:hAnsi="宋体" w:cs="Arial"/>
                <w:color w:val="000000"/>
                <w:kern w:val="0"/>
                <w:sz w:val="20"/>
                <w:szCs w:val="20"/>
              </w:rPr>
            </w:pPr>
            <w:r w:rsidRPr="00A7029C">
              <w:rPr>
                <w:rFonts w:ascii="宋体" w:eastAsia="宋体" w:hAnsi="宋体" w:cs="Arial" w:hint="eastAsia"/>
                <w:color w:val="000000"/>
                <w:kern w:val="0"/>
                <w:sz w:val="20"/>
                <w:szCs w:val="20"/>
              </w:rPr>
              <w:t>注：</w:t>
            </w:r>
            <w:r w:rsidR="00941668">
              <w:rPr>
                <w:rFonts w:ascii="宋体" w:eastAsia="宋体" w:hAnsi="宋体" w:cs="Arial" w:hint="eastAsia"/>
                <w:color w:val="000000"/>
                <w:kern w:val="0"/>
                <w:sz w:val="20"/>
                <w:szCs w:val="20"/>
              </w:rPr>
              <w:t>湖南财政经济学院</w:t>
            </w:r>
            <w:r w:rsidRPr="00A7029C">
              <w:rPr>
                <w:rFonts w:ascii="宋体" w:eastAsia="宋体" w:hAnsi="宋体" w:cs="Arial" w:hint="eastAsia"/>
                <w:color w:val="000000"/>
                <w:kern w:val="0"/>
                <w:sz w:val="20"/>
                <w:szCs w:val="20"/>
              </w:rPr>
              <w:t>无政府性基金收支</w:t>
            </w:r>
            <w:r w:rsidR="001B6E49">
              <w:rPr>
                <w:rFonts w:ascii="宋体" w:eastAsia="宋体" w:hAnsi="宋体" w:cs="Arial" w:hint="eastAsia"/>
                <w:color w:val="000000"/>
                <w:kern w:val="0"/>
                <w:sz w:val="20"/>
                <w:szCs w:val="20"/>
              </w:rPr>
              <w:t>。</w:t>
            </w:r>
          </w:p>
        </w:tc>
      </w:tr>
      <w:tr w:rsidR="00A7029C" w:rsidRPr="00A7029C" w:rsidTr="00A7029C">
        <w:trPr>
          <w:trHeight w:val="312"/>
        </w:trPr>
        <w:tc>
          <w:tcPr>
            <w:tcW w:w="9920" w:type="dxa"/>
            <w:gridSpan w:val="8"/>
            <w:vMerge/>
            <w:tcBorders>
              <w:top w:val="single" w:sz="4" w:space="0" w:color="auto"/>
              <w:left w:val="nil"/>
              <w:bottom w:val="nil"/>
              <w:right w:val="nil"/>
            </w:tcBorders>
            <w:vAlign w:val="center"/>
            <w:hideMark/>
          </w:tcPr>
          <w:p w:rsidR="00A7029C" w:rsidRPr="00A7029C" w:rsidRDefault="00A7029C" w:rsidP="00A7029C">
            <w:pPr>
              <w:widowControl/>
              <w:jc w:val="left"/>
              <w:rPr>
                <w:rFonts w:ascii="宋体" w:eastAsia="宋体" w:hAnsi="宋体" w:cs="Arial"/>
                <w:color w:val="000000"/>
                <w:kern w:val="0"/>
                <w:sz w:val="20"/>
                <w:szCs w:val="20"/>
              </w:rPr>
            </w:pPr>
          </w:p>
        </w:tc>
      </w:tr>
    </w:tbl>
    <w:p w:rsidR="003C0489" w:rsidRPr="00A7029C" w:rsidRDefault="003C0489" w:rsidP="00A7029C">
      <w:pPr>
        <w:pStyle w:val="Default"/>
        <w:jc w:val="center"/>
        <w:rPr>
          <w:sz w:val="72"/>
          <w:szCs w:val="72"/>
        </w:rPr>
      </w:pPr>
    </w:p>
    <w:p w:rsidR="003C0489" w:rsidRDefault="003C0489">
      <w:pPr>
        <w:pStyle w:val="Default"/>
        <w:rPr>
          <w:sz w:val="72"/>
          <w:szCs w:val="72"/>
        </w:rPr>
      </w:pPr>
    </w:p>
    <w:p w:rsidR="003C0489" w:rsidRDefault="003C0489">
      <w:pPr>
        <w:pStyle w:val="Default"/>
        <w:jc w:val="center"/>
        <w:rPr>
          <w:sz w:val="72"/>
          <w:szCs w:val="72"/>
        </w:rPr>
      </w:pPr>
    </w:p>
    <w:p w:rsidR="003C0489" w:rsidRDefault="003C0489">
      <w:pPr>
        <w:pStyle w:val="Default"/>
        <w:jc w:val="center"/>
        <w:rPr>
          <w:sz w:val="72"/>
          <w:szCs w:val="72"/>
        </w:rPr>
      </w:pPr>
    </w:p>
    <w:p w:rsidR="00F16204" w:rsidRDefault="00F16204">
      <w:pPr>
        <w:pStyle w:val="Default"/>
        <w:jc w:val="center"/>
        <w:rPr>
          <w:sz w:val="72"/>
          <w:szCs w:val="72"/>
        </w:rPr>
      </w:pPr>
    </w:p>
    <w:p w:rsidR="00F16204" w:rsidRDefault="00F16204">
      <w:pPr>
        <w:pStyle w:val="Default"/>
        <w:jc w:val="center"/>
        <w:rPr>
          <w:sz w:val="72"/>
          <w:szCs w:val="72"/>
        </w:rPr>
      </w:pPr>
    </w:p>
    <w:p w:rsidR="00F16204" w:rsidRDefault="00F16204">
      <w:pPr>
        <w:pStyle w:val="Default"/>
        <w:jc w:val="center"/>
        <w:rPr>
          <w:sz w:val="72"/>
          <w:szCs w:val="72"/>
        </w:rPr>
      </w:pPr>
    </w:p>
    <w:p w:rsidR="00F16204" w:rsidRDefault="00F16204">
      <w:pPr>
        <w:pStyle w:val="Default"/>
        <w:jc w:val="center"/>
        <w:rPr>
          <w:rFonts w:hint="eastAsia"/>
          <w:sz w:val="72"/>
          <w:szCs w:val="72"/>
        </w:rPr>
      </w:pPr>
    </w:p>
    <w:p w:rsidR="006D3EDD" w:rsidRDefault="006D3EDD">
      <w:pPr>
        <w:pStyle w:val="Default"/>
        <w:jc w:val="center"/>
        <w:rPr>
          <w:rFonts w:hint="eastAsia"/>
          <w:sz w:val="72"/>
          <w:szCs w:val="72"/>
        </w:rPr>
      </w:pPr>
    </w:p>
    <w:p w:rsidR="006D3EDD" w:rsidRDefault="006D3EDD">
      <w:pPr>
        <w:pStyle w:val="Default"/>
        <w:jc w:val="center"/>
        <w:rPr>
          <w:rFonts w:asciiTheme="minorEastAsia" w:eastAsiaTheme="minorEastAsia" w:hAnsiTheme="minorEastAsia" w:cs="仿宋_GB2312" w:hint="eastAsia"/>
          <w:sz w:val="36"/>
          <w:szCs w:val="36"/>
        </w:rPr>
      </w:pPr>
    </w:p>
    <w:p w:rsidR="006D3EDD" w:rsidRDefault="006D3EDD">
      <w:pPr>
        <w:pStyle w:val="Default"/>
        <w:jc w:val="center"/>
        <w:rPr>
          <w:rFonts w:asciiTheme="minorEastAsia" w:eastAsiaTheme="minorEastAsia" w:hAnsiTheme="minorEastAsia" w:cs="仿宋_GB2312" w:hint="eastAsia"/>
          <w:sz w:val="36"/>
          <w:szCs w:val="36"/>
        </w:rPr>
      </w:pPr>
    </w:p>
    <w:p w:rsidR="006D3EDD" w:rsidRDefault="006D3EDD" w:rsidP="00561FE2">
      <w:pPr>
        <w:pStyle w:val="Default"/>
        <w:spacing w:beforeLines="50" w:afterLines="100"/>
        <w:jc w:val="center"/>
        <w:rPr>
          <w:rFonts w:asciiTheme="minorEastAsia" w:eastAsiaTheme="minorEastAsia" w:hAnsiTheme="minorEastAsia" w:cs="仿宋_GB2312" w:hint="eastAsia"/>
          <w:sz w:val="36"/>
          <w:szCs w:val="36"/>
        </w:rPr>
      </w:pPr>
      <w:r w:rsidRPr="006D3EDD">
        <w:rPr>
          <w:rFonts w:asciiTheme="minorEastAsia" w:eastAsiaTheme="minorEastAsia" w:hAnsiTheme="minorEastAsia" w:cs="仿宋_GB2312" w:hint="eastAsia"/>
          <w:sz w:val="36"/>
          <w:szCs w:val="36"/>
        </w:rPr>
        <w:t>九、国有资本经营预算财政拨款支出决算表</w:t>
      </w:r>
    </w:p>
    <w:p w:rsidR="001B6E49" w:rsidRPr="001B6E49" w:rsidRDefault="001B6E49" w:rsidP="001B6E49">
      <w:pPr>
        <w:pStyle w:val="Default"/>
        <w:spacing w:beforeLines="50"/>
        <w:rPr>
          <w:rFonts w:asciiTheme="minorEastAsia" w:eastAsiaTheme="minorEastAsia" w:hAnsiTheme="minorEastAsia" w:cs="仿宋_GB2312" w:hint="eastAsia"/>
          <w:sz w:val="21"/>
          <w:szCs w:val="21"/>
        </w:rPr>
      </w:pPr>
      <w:r w:rsidRPr="001B6E49">
        <w:rPr>
          <w:rFonts w:asciiTheme="minorEastAsia" w:eastAsiaTheme="minorEastAsia" w:hAnsiTheme="minorEastAsia" w:cs="仿宋_GB2312" w:hint="eastAsia"/>
          <w:sz w:val="21"/>
          <w:szCs w:val="21"/>
        </w:rPr>
        <w:t xml:space="preserve">单位：湖南财政经济学院       </w:t>
      </w:r>
      <w:r>
        <w:rPr>
          <w:rFonts w:asciiTheme="minorEastAsia" w:eastAsiaTheme="minorEastAsia" w:hAnsiTheme="minorEastAsia" w:cs="仿宋_GB2312" w:hint="eastAsia"/>
          <w:sz w:val="21"/>
          <w:szCs w:val="21"/>
        </w:rPr>
        <w:t xml:space="preserve">                                                       </w:t>
      </w:r>
      <w:r w:rsidRPr="001B6E49">
        <w:rPr>
          <w:rFonts w:asciiTheme="minorEastAsia" w:eastAsiaTheme="minorEastAsia" w:hAnsiTheme="minorEastAsia" w:cs="仿宋_GB2312" w:hint="eastAsia"/>
          <w:sz w:val="21"/>
          <w:szCs w:val="21"/>
        </w:rPr>
        <w:t xml:space="preserve"> 单位：万元</w:t>
      </w:r>
    </w:p>
    <w:tbl>
      <w:tblPr>
        <w:tblW w:w="10418" w:type="dxa"/>
        <w:tblInd w:w="91" w:type="dxa"/>
        <w:tblLook w:val="04A0"/>
      </w:tblPr>
      <w:tblGrid>
        <w:gridCol w:w="426"/>
        <w:gridCol w:w="426"/>
        <w:gridCol w:w="426"/>
        <w:gridCol w:w="460"/>
        <w:gridCol w:w="480"/>
        <w:gridCol w:w="600"/>
        <w:gridCol w:w="640"/>
        <w:gridCol w:w="800"/>
        <w:gridCol w:w="720"/>
        <w:gridCol w:w="680"/>
        <w:gridCol w:w="520"/>
        <w:gridCol w:w="580"/>
        <w:gridCol w:w="920"/>
        <w:gridCol w:w="440"/>
        <w:gridCol w:w="500"/>
        <w:gridCol w:w="520"/>
        <w:gridCol w:w="720"/>
        <w:gridCol w:w="560"/>
      </w:tblGrid>
      <w:tr w:rsidR="00561FE2" w:rsidRPr="00561FE2" w:rsidTr="001B6E49">
        <w:trPr>
          <w:trHeight w:val="308"/>
        </w:trPr>
        <w:tc>
          <w:tcPr>
            <w:tcW w:w="1738"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61FE2" w:rsidRPr="00561FE2" w:rsidRDefault="001B6E49"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 xml:space="preserve">  </w:t>
            </w:r>
            <w:r w:rsidR="00561FE2" w:rsidRPr="00561FE2">
              <w:rPr>
                <w:rFonts w:ascii="宋体" w:eastAsia="宋体" w:hAnsi="宋体" w:cs="Arial" w:hint="eastAsia"/>
                <w:color w:val="000000"/>
                <w:kern w:val="0"/>
                <w:szCs w:val="21"/>
              </w:rPr>
              <w:t>项目</w:t>
            </w:r>
          </w:p>
        </w:tc>
        <w:tc>
          <w:tcPr>
            <w:tcW w:w="8680" w:type="dxa"/>
            <w:gridSpan w:val="14"/>
            <w:tcBorders>
              <w:top w:val="single" w:sz="4" w:space="0" w:color="000000"/>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本年支出 </w:t>
            </w:r>
          </w:p>
        </w:tc>
      </w:tr>
      <w:tr w:rsidR="00561FE2" w:rsidRPr="00561FE2" w:rsidTr="001B6E49">
        <w:trPr>
          <w:trHeight w:val="308"/>
        </w:trPr>
        <w:tc>
          <w:tcPr>
            <w:tcW w:w="1278"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支出功能分类科目编码</w:t>
            </w:r>
          </w:p>
        </w:tc>
        <w:tc>
          <w:tcPr>
            <w:tcW w:w="46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科目名称</w:t>
            </w:r>
          </w:p>
        </w:tc>
        <w:tc>
          <w:tcPr>
            <w:tcW w:w="48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合计</w:t>
            </w:r>
          </w:p>
        </w:tc>
        <w:tc>
          <w:tcPr>
            <w:tcW w:w="60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工资福利支出</w:t>
            </w:r>
          </w:p>
        </w:tc>
        <w:tc>
          <w:tcPr>
            <w:tcW w:w="64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商品和服务支出</w:t>
            </w:r>
          </w:p>
        </w:tc>
        <w:tc>
          <w:tcPr>
            <w:tcW w:w="80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对个人和家庭的补助</w:t>
            </w:r>
          </w:p>
        </w:tc>
        <w:tc>
          <w:tcPr>
            <w:tcW w:w="72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债务利息及费用支出</w:t>
            </w:r>
          </w:p>
        </w:tc>
        <w:tc>
          <w:tcPr>
            <w:tcW w:w="68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资本性支出</w:t>
            </w:r>
          </w:p>
        </w:tc>
        <w:tc>
          <w:tcPr>
            <w:tcW w:w="3480" w:type="dxa"/>
            <w:gridSpan w:val="6"/>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对企业补助</w:t>
            </w:r>
          </w:p>
        </w:tc>
        <w:tc>
          <w:tcPr>
            <w:tcW w:w="72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对社会保障基金补助</w:t>
            </w:r>
          </w:p>
        </w:tc>
        <w:tc>
          <w:tcPr>
            <w:tcW w:w="56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其他支出</w:t>
            </w:r>
          </w:p>
        </w:tc>
      </w:tr>
      <w:tr w:rsidR="00561FE2" w:rsidRPr="00561FE2" w:rsidTr="001B6E49">
        <w:trPr>
          <w:trHeight w:val="312"/>
        </w:trPr>
        <w:tc>
          <w:tcPr>
            <w:tcW w:w="1278" w:type="dxa"/>
            <w:gridSpan w:val="3"/>
            <w:vMerge/>
            <w:tcBorders>
              <w:top w:val="nil"/>
              <w:left w:val="single" w:sz="4" w:space="0" w:color="000000"/>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6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8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60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64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80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7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68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2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小计</w:t>
            </w:r>
          </w:p>
        </w:tc>
        <w:tc>
          <w:tcPr>
            <w:tcW w:w="58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资本金注入</w:t>
            </w:r>
          </w:p>
        </w:tc>
        <w:tc>
          <w:tcPr>
            <w:tcW w:w="92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政府投资基金股权投资</w:t>
            </w:r>
          </w:p>
        </w:tc>
        <w:tc>
          <w:tcPr>
            <w:tcW w:w="44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费用补贴</w:t>
            </w:r>
          </w:p>
        </w:tc>
        <w:tc>
          <w:tcPr>
            <w:tcW w:w="50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利息补贴</w:t>
            </w:r>
          </w:p>
        </w:tc>
        <w:tc>
          <w:tcPr>
            <w:tcW w:w="520"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其他对企业补助</w:t>
            </w:r>
          </w:p>
        </w:tc>
        <w:tc>
          <w:tcPr>
            <w:tcW w:w="7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6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r>
      <w:tr w:rsidR="00561FE2" w:rsidRPr="00561FE2" w:rsidTr="001B6E49">
        <w:trPr>
          <w:trHeight w:val="615"/>
        </w:trPr>
        <w:tc>
          <w:tcPr>
            <w:tcW w:w="1278" w:type="dxa"/>
            <w:gridSpan w:val="3"/>
            <w:vMerge/>
            <w:tcBorders>
              <w:top w:val="nil"/>
              <w:left w:val="single" w:sz="4" w:space="0" w:color="000000"/>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6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8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60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64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80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7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68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8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9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4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0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72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560"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r>
      <w:tr w:rsidR="00561FE2" w:rsidRPr="00561FE2" w:rsidTr="001B6E49">
        <w:trPr>
          <w:trHeight w:val="308"/>
        </w:trPr>
        <w:tc>
          <w:tcPr>
            <w:tcW w:w="42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类</w:t>
            </w:r>
          </w:p>
        </w:tc>
        <w:tc>
          <w:tcPr>
            <w:tcW w:w="426"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款</w:t>
            </w:r>
          </w:p>
        </w:tc>
        <w:tc>
          <w:tcPr>
            <w:tcW w:w="426" w:type="dxa"/>
            <w:vMerge w:val="restart"/>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项</w:t>
            </w:r>
          </w:p>
        </w:tc>
        <w:tc>
          <w:tcPr>
            <w:tcW w:w="460" w:type="dxa"/>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栏次</w:t>
            </w:r>
          </w:p>
        </w:tc>
        <w:tc>
          <w:tcPr>
            <w:tcW w:w="48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1</w:t>
            </w:r>
          </w:p>
        </w:tc>
        <w:tc>
          <w:tcPr>
            <w:tcW w:w="60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2</w:t>
            </w:r>
          </w:p>
        </w:tc>
        <w:tc>
          <w:tcPr>
            <w:tcW w:w="64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3</w:t>
            </w:r>
          </w:p>
        </w:tc>
        <w:tc>
          <w:tcPr>
            <w:tcW w:w="80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4</w:t>
            </w:r>
          </w:p>
        </w:tc>
        <w:tc>
          <w:tcPr>
            <w:tcW w:w="72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5</w:t>
            </w:r>
          </w:p>
        </w:tc>
        <w:tc>
          <w:tcPr>
            <w:tcW w:w="68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6</w:t>
            </w:r>
          </w:p>
        </w:tc>
        <w:tc>
          <w:tcPr>
            <w:tcW w:w="52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7</w:t>
            </w:r>
          </w:p>
        </w:tc>
        <w:tc>
          <w:tcPr>
            <w:tcW w:w="58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8</w:t>
            </w:r>
          </w:p>
        </w:tc>
        <w:tc>
          <w:tcPr>
            <w:tcW w:w="92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1B6E49">
              <w:rPr>
                <w:rFonts w:ascii="宋体" w:eastAsia="宋体" w:hAnsi="宋体" w:cs="Arial" w:hint="eastAsia"/>
                <w:color w:val="000000"/>
                <w:kern w:val="0"/>
                <w:szCs w:val="21"/>
              </w:rPr>
              <w:t>9</w:t>
            </w:r>
          </w:p>
        </w:tc>
        <w:tc>
          <w:tcPr>
            <w:tcW w:w="44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1</w:t>
            </w:r>
            <w:r w:rsidRPr="001B6E49">
              <w:rPr>
                <w:rFonts w:ascii="宋体" w:eastAsia="宋体" w:hAnsi="宋体" w:cs="Arial" w:hint="eastAsia"/>
                <w:color w:val="000000"/>
                <w:kern w:val="0"/>
                <w:szCs w:val="21"/>
              </w:rPr>
              <w:t>0</w:t>
            </w:r>
          </w:p>
        </w:tc>
        <w:tc>
          <w:tcPr>
            <w:tcW w:w="50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1</w:t>
            </w:r>
            <w:r w:rsidRPr="001B6E49">
              <w:rPr>
                <w:rFonts w:ascii="宋体" w:eastAsia="宋体" w:hAnsi="宋体" w:cs="Arial" w:hint="eastAsia"/>
                <w:color w:val="000000"/>
                <w:kern w:val="0"/>
                <w:szCs w:val="21"/>
              </w:rPr>
              <w:t>1</w:t>
            </w:r>
          </w:p>
        </w:tc>
        <w:tc>
          <w:tcPr>
            <w:tcW w:w="52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1</w:t>
            </w:r>
            <w:r w:rsidRPr="001B6E49">
              <w:rPr>
                <w:rFonts w:ascii="宋体" w:eastAsia="宋体" w:hAnsi="宋体" w:cs="Arial" w:hint="eastAsia"/>
                <w:color w:val="000000"/>
                <w:kern w:val="0"/>
                <w:szCs w:val="21"/>
              </w:rPr>
              <w:t>2</w:t>
            </w:r>
          </w:p>
        </w:tc>
        <w:tc>
          <w:tcPr>
            <w:tcW w:w="72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1</w:t>
            </w:r>
            <w:r w:rsidRPr="001B6E49">
              <w:rPr>
                <w:rFonts w:ascii="宋体" w:eastAsia="宋体" w:hAnsi="宋体" w:cs="Arial" w:hint="eastAsia"/>
                <w:color w:val="000000"/>
                <w:kern w:val="0"/>
                <w:szCs w:val="21"/>
              </w:rPr>
              <w:t>3</w:t>
            </w:r>
          </w:p>
        </w:tc>
        <w:tc>
          <w:tcPr>
            <w:tcW w:w="560" w:type="dxa"/>
            <w:tcBorders>
              <w:top w:val="nil"/>
              <w:left w:val="nil"/>
              <w:bottom w:val="single" w:sz="4" w:space="0" w:color="000000"/>
              <w:right w:val="single" w:sz="4" w:space="0" w:color="000000"/>
            </w:tcBorders>
            <w:shd w:val="clear" w:color="FFFFFF" w:fill="FFFFFF"/>
            <w:noWrap/>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1</w:t>
            </w:r>
            <w:r w:rsidRPr="001B6E49">
              <w:rPr>
                <w:rFonts w:ascii="宋体" w:eastAsia="宋体" w:hAnsi="宋体" w:cs="Arial" w:hint="eastAsia"/>
                <w:color w:val="000000"/>
                <w:kern w:val="0"/>
                <w:szCs w:val="21"/>
              </w:rPr>
              <w:t>4</w:t>
            </w:r>
          </w:p>
        </w:tc>
      </w:tr>
      <w:tr w:rsidR="00561FE2" w:rsidRPr="00561FE2" w:rsidTr="001B6E49">
        <w:trPr>
          <w:trHeight w:val="308"/>
        </w:trPr>
        <w:tc>
          <w:tcPr>
            <w:tcW w:w="426" w:type="dxa"/>
            <w:vMerge/>
            <w:tcBorders>
              <w:top w:val="nil"/>
              <w:left w:val="single" w:sz="4" w:space="0" w:color="000000"/>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26"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26" w:type="dxa"/>
            <w:vMerge/>
            <w:tcBorders>
              <w:top w:val="nil"/>
              <w:left w:val="nil"/>
              <w:bottom w:val="single" w:sz="4" w:space="0" w:color="000000"/>
              <w:right w:val="single" w:sz="4" w:space="0" w:color="000000"/>
            </w:tcBorders>
            <w:vAlign w:val="center"/>
            <w:hideMark/>
          </w:tcPr>
          <w:p w:rsidR="00561FE2" w:rsidRPr="00561FE2" w:rsidRDefault="00561FE2" w:rsidP="00561FE2">
            <w:pPr>
              <w:widowControl/>
              <w:jc w:val="left"/>
              <w:rPr>
                <w:rFonts w:ascii="宋体" w:eastAsia="宋体" w:hAnsi="宋体" w:cs="Arial"/>
                <w:color w:val="000000"/>
                <w:kern w:val="0"/>
                <w:szCs w:val="21"/>
              </w:rPr>
            </w:pPr>
          </w:p>
        </w:tc>
        <w:tc>
          <w:tcPr>
            <w:tcW w:w="460" w:type="dxa"/>
            <w:tcBorders>
              <w:top w:val="nil"/>
              <w:left w:val="nil"/>
              <w:bottom w:val="single" w:sz="4" w:space="0" w:color="000000"/>
              <w:right w:val="single" w:sz="4" w:space="0" w:color="000000"/>
            </w:tcBorders>
            <w:shd w:val="clear" w:color="FFFFFF" w:fill="FFFFFF"/>
            <w:vAlign w:val="center"/>
            <w:hideMark/>
          </w:tcPr>
          <w:p w:rsidR="00561FE2" w:rsidRPr="00561FE2" w:rsidRDefault="00561FE2" w:rsidP="00561FE2">
            <w:pPr>
              <w:widowControl/>
              <w:jc w:val="center"/>
              <w:rPr>
                <w:rFonts w:ascii="宋体" w:eastAsia="宋体" w:hAnsi="宋体" w:cs="Arial"/>
                <w:color w:val="000000"/>
                <w:kern w:val="0"/>
                <w:szCs w:val="21"/>
              </w:rPr>
            </w:pPr>
            <w:r w:rsidRPr="00561FE2">
              <w:rPr>
                <w:rFonts w:ascii="宋体" w:eastAsia="宋体" w:hAnsi="宋体" w:cs="Arial" w:hint="eastAsia"/>
                <w:color w:val="000000"/>
                <w:kern w:val="0"/>
                <w:szCs w:val="21"/>
              </w:rPr>
              <w:t>合计</w:t>
            </w:r>
          </w:p>
        </w:tc>
        <w:tc>
          <w:tcPr>
            <w:tcW w:w="4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6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6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8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6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5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9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4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5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c>
          <w:tcPr>
            <w:tcW w:w="5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Cs w:val="21"/>
              </w:rPr>
            </w:pPr>
            <w:r w:rsidRPr="00561FE2">
              <w:rPr>
                <w:rFonts w:ascii="宋体" w:eastAsia="宋体" w:hAnsi="宋体" w:cs="Arial" w:hint="eastAsia"/>
                <w:color w:val="000000"/>
                <w:kern w:val="0"/>
                <w:szCs w:val="21"/>
              </w:rPr>
              <w:t xml:space="preserve">　</w:t>
            </w:r>
          </w:p>
        </w:tc>
      </w:tr>
      <w:tr w:rsidR="00561FE2" w:rsidRPr="00561FE2" w:rsidTr="001B6E49">
        <w:trPr>
          <w:trHeight w:val="308"/>
        </w:trPr>
        <w:tc>
          <w:tcPr>
            <w:tcW w:w="1278"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lef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lef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9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r>
      <w:tr w:rsidR="00561FE2" w:rsidRPr="00561FE2" w:rsidTr="001B6E49">
        <w:trPr>
          <w:trHeight w:val="308"/>
        </w:trPr>
        <w:tc>
          <w:tcPr>
            <w:tcW w:w="1278"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lef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lef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9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r>
      <w:tr w:rsidR="00561FE2" w:rsidRPr="00561FE2" w:rsidTr="001B6E49">
        <w:trPr>
          <w:trHeight w:val="308"/>
        </w:trPr>
        <w:tc>
          <w:tcPr>
            <w:tcW w:w="1278"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lef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lef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6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9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44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0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72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c>
          <w:tcPr>
            <w:tcW w:w="560" w:type="dxa"/>
            <w:tcBorders>
              <w:top w:val="nil"/>
              <w:left w:val="nil"/>
              <w:bottom w:val="single" w:sz="4" w:space="0" w:color="000000"/>
              <w:right w:val="single" w:sz="4" w:space="0" w:color="000000"/>
            </w:tcBorders>
            <w:shd w:val="clear" w:color="000000" w:fill="FFFFFF"/>
            <w:noWrap/>
            <w:vAlign w:val="center"/>
            <w:hideMark/>
          </w:tcPr>
          <w:p w:rsidR="00561FE2" w:rsidRPr="00561FE2" w:rsidRDefault="00561FE2" w:rsidP="00561FE2">
            <w:pPr>
              <w:widowControl/>
              <w:jc w:val="right"/>
              <w:rPr>
                <w:rFonts w:ascii="宋体" w:eastAsia="宋体" w:hAnsi="宋体" w:cs="Arial"/>
                <w:color w:val="000000"/>
                <w:kern w:val="0"/>
                <w:sz w:val="16"/>
                <w:szCs w:val="16"/>
              </w:rPr>
            </w:pPr>
            <w:r w:rsidRPr="00561FE2">
              <w:rPr>
                <w:rFonts w:ascii="宋体" w:eastAsia="宋体" w:hAnsi="宋体" w:cs="Arial" w:hint="eastAsia"/>
                <w:color w:val="000000"/>
                <w:kern w:val="0"/>
                <w:sz w:val="16"/>
                <w:szCs w:val="16"/>
              </w:rPr>
              <w:t xml:space="preserve">　</w:t>
            </w:r>
          </w:p>
        </w:tc>
      </w:tr>
    </w:tbl>
    <w:p w:rsidR="001B6E49" w:rsidRDefault="001B6E49" w:rsidP="001B6E49">
      <w:pPr>
        <w:pStyle w:val="Default"/>
        <w:rPr>
          <w:rFonts w:asciiTheme="minorEastAsia" w:eastAsiaTheme="minorEastAsia" w:hAnsiTheme="minorEastAsia" w:cs="仿宋_GB2312" w:hint="eastAsia"/>
          <w:sz w:val="21"/>
          <w:szCs w:val="21"/>
        </w:rPr>
      </w:pPr>
    </w:p>
    <w:p w:rsidR="006D3EDD" w:rsidRPr="001B6E49" w:rsidRDefault="001B6E49" w:rsidP="001B6E49">
      <w:pPr>
        <w:pStyle w:val="Default"/>
        <w:rPr>
          <w:rFonts w:asciiTheme="minorEastAsia" w:eastAsiaTheme="minorEastAsia" w:hAnsiTheme="minorEastAsia" w:cs="仿宋_GB2312" w:hint="eastAsia"/>
          <w:sz w:val="21"/>
          <w:szCs w:val="21"/>
        </w:rPr>
      </w:pPr>
      <w:r w:rsidRPr="001B6E49">
        <w:rPr>
          <w:rFonts w:asciiTheme="minorEastAsia" w:eastAsiaTheme="minorEastAsia" w:hAnsiTheme="minorEastAsia" w:cs="仿宋_GB2312" w:hint="eastAsia"/>
          <w:sz w:val="21"/>
          <w:szCs w:val="21"/>
        </w:rPr>
        <w:t>注：湖南财政经济学院无国有资本经营财政拨款</w:t>
      </w:r>
      <w:r>
        <w:rPr>
          <w:rFonts w:asciiTheme="minorEastAsia" w:eastAsiaTheme="minorEastAsia" w:hAnsiTheme="minorEastAsia" w:cs="仿宋_GB2312" w:hint="eastAsia"/>
          <w:sz w:val="21"/>
          <w:szCs w:val="21"/>
        </w:rPr>
        <w:t>。</w:t>
      </w:r>
    </w:p>
    <w:p w:rsidR="006D3EDD" w:rsidRPr="001B6E49"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6D3EDD" w:rsidRDefault="006D3EDD">
      <w:pPr>
        <w:pStyle w:val="Default"/>
        <w:jc w:val="center"/>
        <w:rPr>
          <w:rFonts w:asciiTheme="minorEastAsia" w:eastAsiaTheme="minorEastAsia" w:hAnsiTheme="minorEastAsia" w:cs="仿宋_GB2312" w:hint="eastAsia"/>
          <w:sz w:val="28"/>
          <w:szCs w:val="28"/>
        </w:rPr>
      </w:pPr>
    </w:p>
    <w:p w:rsidR="00A7029C" w:rsidRDefault="00A7029C" w:rsidP="00672A1E">
      <w:pPr>
        <w:pStyle w:val="Default"/>
        <w:rPr>
          <w:sz w:val="72"/>
          <w:szCs w:val="72"/>
        </w:rPr>
      </w:pPr>
    </w:p>
    <w:p w:rsidR="003C0489" w:rsidRPr="00B3762E" w:rsidRDefault="00F16204" w:rsidP="006D3EDD">
      <w:pPr>
        <w:widowControl/>
        <w:spacing w:afterLines="100"/>
        <w:jc w:val="center"/>
        <w:rPr>
          <w:rFonts w:ascii="黑体" w:eastAsia="黑体" w:hAnsi="黑体"/>
          <w:sz w:val="44"/>
          <w:szCs w:val="44"/>
        </w:rPr>
      </w:pPr>
      <w:r w:rsidRPr="00B3762E">
        <w:rPr>
          <w:rFonts w:ascii="黑体" w:eastAsia="黑体" w:hAnsi="黑体" w:hint="eastAsia"/>
          <w:sz w:val="44"/>
          <w:szCs w:val="44"/>
        </w:rPr>
        <w:lastRenderedPageBreak/>
        <w:t>第三部分</w:t>
      </w:r>
      <w:r w:rsidR="00B3762E">
        <w:rPr>
          <w:rFonts w:ascii="黑体" w:eastAsia="黑体" w:hAnsi="黑体" w:hint="eastAsia"/>
          <w:sz w:val="44"/>
          <w:szCs w:val="44"/>
        </w:rPr>
        <w:t xml:space="preserve"> </w:t>
      </w:r>
      <w:r w:rsidRPr="00B3762E">
        <w:rPr>
          <w:rFonts w:ascii="黑体" w:eastAsia="黑体" w:hAnsi="黑体"/>
          <w:sz w:val="44"/>
          <w:szCs w:val="44"/>
        </w:rPr>
        <w:t>20</w:t>
      </w:r>
      <w:r w:rsidRPr="00B3762E">
        <w:rPr>
          <w:rFonts w:ascii="黑体" w:eastAsia="黑体" w:hAnsi="黑体" w:hint="eastAsia"/>
          <w:sz w:val="44"/>
          <w:szCs w:val="44"/>
        </w:rPr>
        <w:t>20年度部门决算情况说明</w:t>
      </w:r>
    </w:p>
    <w:p w:rsidR="003C0489" w:rsidRPr="00540254" w:rsidRDefault="0067602F" w:rsidP="00540254">
      <w:pPr>
        <w:pStyle w:val="Default"/>
        <w:ind w:firstLineChars="196" w:firstLine="627"/>
        <w:rPr>
          <w:rFonts w:hAnsi="黑体"/>
          <w:sz w:val="32"/>
          <w:szCs w:val="32"/>
        </w:rPr>
      </w:pPr>
      <w:r w:rsidRPr="00540254">
        <w:rPr>
          <w:rFonts w:hAnsi="黑体" w:hint="eastAsia"/>
          <w:sz w:val="32"/>
          <w:szCs w:val="32"/>
        </w:rPr>
        <w:t>一、收入支出决算总体情况说明</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2020年度收、支总计</w:t>
      </w:r>
      <w:r w:rsidR="003922A3">
        <w:rPr>
          <w:rFonts w:asciiTheme="minorEastAsia" w:eastAsiaTheme="minorEastAsia" w:hAnsiTheme="minorEastAsia" w:hint="eastAsia"/>
          <w:sz w:val="32"/>
          <w:szCs w:val="32"/>
        </w:rPr>
        <w:t>42</w:t>
      </w:r>
      <w:r w:rsidR="00391AC8">
        <w:rPr>
          <w:rFonts w:asciiTheme="minorEastAsia" w:eastAsiaTheme="minorEastAsia" w:hAnsiTheme="minorEastAsia" w:hint="eastAsia"/>
          <w:sz w:val="32"/>
          <w:szCs w:val="32"/>
        </w:rPr>
        <w:t>,</w:t>
      </w:r>
      <w:r w:rsidR="003922A3">
        <w:rPr>
          <w:rFonts w:asciiTheme="minorEastAsia" w:eastAsiaTheme="minorEastAsia" w:hAnsiTheme="minorEastAsia" w:hint="eastAsia"/>
          <w:sz w:val="32"/>
          <w:szCs w:val="32"/>
        </w:rPr>
        <w:t>059.48</w:t>
      </w:r>
      <w:r>
        <w:rPr>
          <w:rFonts w:asciiTheme="minorEastAsia" w:eastAsiaTheme="minorEastAsia" w:hAnsiTheme="minorEastAsia" w:hint="eastAsia"/>
          <w:sz w:val="32"/>
          <w:szCs w:val="32"/>
        </w:rPr>
        <w:t>万元。与上年相比，增加</w:t>
      </w:r>
      <w:r w:rsidR="003922A3">
        <w:rPr>
          <w:rFonts w:asciiTheme="minorEastAsia" w:eastAsiaTheme="minorEastAsia" w:hAnsiTheme="minorEastAsia" w:hint="eastAsia"/>
          <w:sz w:val="32"/>
          <w:szCs w:val="32"/>
        </w:rPr>
        <w:t>4</w:t>
      </w:r>
      <w:r w:rsidR="00391AC8">
        <w:rPr>
          <w:rFonts w:asciiTheme="minorEastAsia" w:eastAsiaTheme="minorEastAsia" w:hAnsiTheme="minorEastAsia" w:hint="eastAsia"/>
          <w:sz w:val="32"/>
          <w:szCs w:val="32"/>
        </w:rPr>
        <w:t>,</w:t>
      </w:r>
      <w:r w:rsidR="003922A3">
        <w:rPr>
          <w:rFonts w:asciiTheme="minorEastAsia" w:eastAsiaTheme="minorEastAsia" w:hAnsiTheme="minorEastAsia" w:hint="eastAsia"/>
          <w:sz w:val="32"/>
          <w:szCs w:val="32"/>
        </w:rPr>
        <w:t>643.84</w:t>
      </w:r>
      <w:r>
        <w:rPr>
          <w:rFonts w:asciiTheme="minorEastAsia" w:eastAsiaTheme="minorEastAsia" w:hAnsiTheme="minorEastAsia" w:hint="eastAsia"/>
          <w:sz w:val="32"/>
          <w:szCs w:val="32"/>
        </w:rPr>
        <w:t>万元，增长</w:t>
      </w:r>
      <w:r w:rsidR="003922A3">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w:t>
      </w:r>
      <w:r w:rsidR="001C62FE">
        <w:rPr>
          <w:rFonts w:asciiTheme="minorEastAsia" w:eastAsiaTheme="minorEastAsia" w:hAnsiTheme="minorEastAsia" w:hint="eastAsia"/>
          <w:sz w:val="32"/>
          <w:szCs w:val="32"/>
        </w:rPr>
        <w:t>主要原因</w:t>
      </w:r>
      <w:r w:rsidR="00472C24">
        <w:rPr>
          <w:rFonts w:asciiTheme="minorEastAsia" w:eastAsiaTheme="minorEastAsia" w:hAnsiTheme="minorEastAsia" w:hint="eastAsia"/>
          <w:sz w:val="32"/>
          <w:szCs w:val="32"/>
        </w:rPr>
        <w:t>是</w:t>
      </w:r>
      <w:r w:rsidR="003922A3" w:rsidRPr="001C62FE">
        <w:rPr>
          <w:rFonts w:asciiTheme="minorEastAsia" w:eastAsiaTheme="minorEastAsia" w:hAnsiTheme="minorEastAsia" w:hint="eastAsia"/>
          <w:sz w:val="32"/>
          <w:szCs w:val="32"/>
        </w:rPr>
        <w:t>财政</w:t>
      </w:r>
      <w:r w:rsidR="003922A3" w:rsidRPr="001C62FE">
        <w:rPr>
          <w:rFonts w:asciiTheme="minorEastAsia" w:eastAsiaTheme="minorEastAsia" w:hAnsiTheme="minorEastAsia"/>
          <w:sz w:val="32"/>
          <w:szCs w:val="32"/>
        </w:rPr>
        <w:t>拨款</w:t>
      </w:r>
      <w:r w:rsidR="00472C24" w:rsidRPr="001C62FE">
        <w:rPr>
          <w:rFonts w:asciiTheme="minorEastAsia" w:eastAsiaTheme="minorEastAsia" w:hAnsiTheme="minorEastAsia" w:hint="eastAsia"/>
          <w:sz w:val="32"/>
          <w:szCs w:val="32"/>
        </w:rPr>
        <w:t>收入</w:t>
      </w:r>
      <w:r w:rsidR="00472C24" w:rsidRPr="001C62FE">
        <w:rPr>
          <w:rFonts w:asciiTheme="minorEastAsia" w:eastAsiaTheme="minorEastAsia" w:hAnsiTheme="minorEastAsia"/>
          <w:sz w:val="32"/>
          <w:szCs w:val="32"/>
        </w:rPr>
        <w:t>有所</w:t>
      </w:r>
      <w:r w:rsidR="003922A3" w:rsidRPr="001C62FE">
        <w:rPr>
          <w:rFonts w:asciiTheme="minorEastAsia" w:eastAsiaTheme="minorEastAsia" w:hAnsiTheme="minorEastAsia"/>
          <w:sz w:val="32"/>
          <w:szCs w:val="32"/>
        </w:rPr>
        <w:t>增加</w:t>
      </w:r>
      <w:r w:rsidR="00472C24" w:rsidRPr="001C62FE">
        <w:rPr>
          <w:rFonts w:asciiTheme="minorEastAsia" w:eastAsiaTheme="minorEastAsia" w:hAnsiTheme="minorEastAsia" w:hint="eastAsia"/>
          <w:sz w:val="32"/>
          <w:szCs w:val="32"/>
        </w:rPr>
        <w:t>；将一卡通</w:t>
      </w:r>
      <w:r w:rsidR="001C62FE">
        <w:rPr>
          <w:rFonts w:asciiTheme="minorEastAsia" w:eastAsiaTheme="minorEastAsia" w:hAnsiTheme="minorEastAsia" w:hint="eastAsia"/>
          <w:sz w:val="32"/>
          <w:szCs w:val="32"/>
        </w:rPr>
        <w:t>结算</w:t>
      </w:r>
      <w:r w:rsidR="00472C24" w:rsidRPr="001C62FE">
        <w:rPr>
          <w:rFonts w:asciiTheme="minorEastAsia" w:eastAsiaTheme="minorEastAsia" w:hAnsiTheme="minorEastAsia" w:hint="eastAsia"/>
          <w:sz w:val="32"/>
          <w:szCs w:val="32"/>
        </w:rPr>
        <w:t>款、ACCA</w:t>
      </w:r>
      <w:r w:rsidR="00B251C5">
        <w:rPr>
          <w:rFonts w:asciiTheme="minorEastAsia" w:eastAsiaTheme="minorEastAsia" w:hAnsiTheme="minorEastAsia" w:hint="eastAsia"/>
          <w:sz w:val="32"/>
          <w:szCs w:val="32"/>
        </w:rPr>
        <w:t>学费</w:t>
      </w:r>
      <w:r w:rsidR="001C62FE" w:rsidRPr="001C62FE">
        <w:rPr>
          <w:rFonts w:asciiTheme="minorEastAsia" w:eastAsiaTheme="minorEastAsia" w:hAnsiTheme="minorEastAsia" w:hint="eastAsia"/>
          <w:sz w:val="32"/>
          <w:szCs w:val="32"/>
        </w:rPr>
        <w:t>等均纳入学校收支核算</w:t>
      </w:r>
      <w:r w:rsidR="003922A3" w:rsidRPr="001C62FE">
        <w:rPr>
          <w:rFonts w:asciiTheme="minorEastAsia" w:eastAsiaTheme="minorEastAsia" w:hAnsiTheme="minorEastAsia" w:hint="eastAsia"/>
          <w:sz w:val="32"/>
          <w:szCs w:val="32"/>
        </w:rPr>
        <w:t>。</w:t>
      </w:r>
    </w:p>
    <w:p w:rsidR="003C0489" w:rsidRPr="00540254" w:rsidRDefault="0067602F" w:rsidP="00967CF8">
      <w:pPr>
        <w:pStyle w:val="Default"/>
        <w:ind w:firstLineChars="200" w:firstLine="640"/>
        <w:rPr>
          <w:rFonts w:hAnsi="黑体"/>
          <w:sz w:val="32"/>
          <w:szCs w:val="32"/>
        </w:rPr>
      </w:pPr>
      <w:r w:rsidRPr="00540254">
        <w:rPr>
          <w:rFonts w:hAnsi="黑体" w:hint="eastAsia"/>
          <w:sz w:val="32"/>
          <w:szCs w:val="32"/>
        </w:rPr>
        <w:t>二、收入决算情况说明</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3922A3">
        <w:rPr>
          <w:rFonts w:ascii="仿宋" w:eastAsia="仿宋" w:hAnsi="仿宋" w:hint="eastAsia"/>
          <w:sz w:val="32"/>
          <w:szCs w:val="32"/>
        </w:rPr>
        <w:t>39,665.68</w:t>
      </w:r>
      <w:r>
        <w:rPr>
          <w:rFonts w:asciiTheme="minorEastAsia" w:eastAsiaTheme="minorEastAsia" w:hAnsiTheme="minorEastAsia" w:hint="eastAsia"/>
          <w:sz w:val="32"/>
          <w:szCs w:val="32"/>
        </w:rPr>
        <w:t>万元，其中：财政拨款收入</w:t>
      </w:r>
      <w:r w:rsidR="003922A3">
        <w:rPr>
          <w:rFonts w:ascii="仿宋" w:eastAsia="仿宋" w:hAnsi="仿宋" w:hint="eastAsia"/>
          <w:sz w:val="32"/>
          <w:szCs w:val="32"/>
        </w:rPr>
        <w:t>20,014.78</w:t>
      </w:r>
      <w:r>
        <w:rPr>
          <w:rFonts w:asciiTheme="minorEastAsia" w:eastAsiaTheme="minorEastAsia" w:hAnsiTheme="minorEastAsia" w:hint="eastAsia"/>
          <w:sz w:val="32"/>
          <w:szCs w:val="32"/>
        </w:rPr>
        <w:t>万元，占</w:t>
      </w:r>
      <w:r w:rsidR="003922A3" w:rsidRPr="003922A3">
        <w:rPr>
          <w:rFonts w:asciiTheme="minorEastAsia" w:eastAsiaTheme="minorEastAsia" w:hAnsiTheme="minorEastAsia"/>
          <w:sz w:val="32"/>
          <w:szCs w:val="32"/>
        </w:rPr>
        <w:t>50.46</w:t>
      </w:r>
      <w:r>
        <w:rPr>
          <w:rFonts w:asciiTheme="minorEastAsia" w:eastAsiaTheme="minorEastAsia" w:hAnsiTheme="minorEastAsia" w:hint="eastAsia"/>
          <w:sz w:val="32"/>
          <w:szCs w:val="32"/>
        </w:rPr>
        <w:t>%；事业收入</w:t>
      </w:r>
      <w:r w:rsidR="003922A3">
        <w:rPr>
          <w:rFonts w:ascii="仿宋" w:eastAsia="仿宋" w:hAnsi="仿宋" w:hint="eastAsia"/>
          <w:color w:val="000000" w:themeColor="text1"/>
          <w:sz w:val="32"/>
          <w:szCs w:val="32"/>
        </w:rPr>
        <w:t>10,227.16</w:t>
      </w:r>
      <w:r>
        <w:rPr>
          <w:rFonts w:asciiTheme="minorEastAsia" w:eastAsiaTheme="minorEastAsia" w:hAnsiTheme="minorEastAsia" w:hint="eastAsia"/>
          <w:sz w:val="32"/>
          <w:szCs w:val="32"/>
        </w:rPr>
        <w:t>万元，占</w:t>
      </w:r>
      <w:r w:rsidR="003922A3" w:rsidRPr="003922A3">
        <w:rPr>
          <w:rFonts w:asciiTheme="minorEastAsia" w:eastAsiaTheme="minorEastAsia" w:hAnsiTheme="minorEastAsia"/>
          <w:sz w:val="32"/>
          <w:szCs w:val="32"/>
        </w:rPr>
        <w:t>25.78</w:t>
      </w:r>
      <w:r>
        <w:rPr>
          <w:rFonts w:asciiTheme="minorEastAsia" w:eastAsiaTheme="minorEastAsia" w:hAnsiTheme="minorEastAsia" w:hint="eastAsia"/>
          <w:sz w:val="32"/>
          <w:szCs w:val="32"/>
        </w:rPr>
        <w:t>%；其他收入</w:t>
      </w:r>
      <w:r w:rsidR="003922A3">
        <w:rPr>
          <w:rFonts w:ascii="仿宋" w:eastAsia="仿宋" w:hAnsi="仿宋" w:hint="eastAsia"/>
          <w:color w:val="000000" w:themeColor="text1"/>
          <w:sz w:val="32"/>
          <w:szCs w:val="32"/>
        </w:rPr>
        <w:t>9,423.74</w:t>
      </w:r>
      <w:r>
        <w:rPr>
          <w:rFonts w:asciiTheme="minorEastAsia" w:eastAsiaTheme="minorEastAsia" w:hAnsiTheme="minorEastAsia" w:hint="eastAsia"/>
          <w:sz w:val="32"/>
          <w:szCs w:val="32"/>
        </w:rPr>
        <w:t>万元，占</w:t>
      </w:r>
      <w:r w:rsidR="003922A3" w:rsidRPr="003922A3">
        <w:rPr>
          <w:rFonts w:asciiTheme="minorEastAsia" w:eastAsiaTheme="minorEastAsia" w:hAnsiTheme="minorEastAsia"/>
          <w:sz w:val="32"/>
          <w:szCs w:val="32"/>
        </w:rPr>
        <w:t>23.76</w:t>
      </w:r>
      <w:r>
        <w:rPr>
          <w:rFonts w:asciiTheme="minorEastAsia" w:eastAsiaTheme="minorEastAsia" w:hAnsiTheme="minorEastAsia" w:hint="eastAsia"/>
          <w:sz w:val="32"/>
          <w:szCs w:val="32"/>
        </w:rPr>
        <w:t>%。</w:t>
      </w:r>
    </w:p>
    <w:p w:rsidR="003C0489" w:rsidRPr="00540254" w:rsidRDefault="0067602F">
      <w:pPr>
        <w:pStyle w:val="Default"/>
        <w:ind w:firstLineChars="200" w:firstLine="640"/>
        <w:rPr>
          <w:rFonts w:hAnsi="黑体"/>
          <w:sz w:val="32"/>
          <w:szCs w:val="32"/>
        </w:rPr>
      </w:pPr>
      <w:r w:rsidRPr="00540254">
        <w:rPr>
          <w:rFonts w:hAnsi="黑体" w:hint="eastAsia"/>
          <w:sz w:val="32"/>
          <w:szCs w:val="32"/>
        </w:rPr>
        <w:t>三、支出决算情况说明</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本年支出合计</w:t>
      </w:r>
      <w:r w:rsidR="003922A3" w:rsidRPr="003922A3">
        <w:rPr>
          <w:rFonts w:asciiTheme="minorEastAsia" w:eastAsiaTheme="minorEastAsia" w:hAnsiTheme="minorEastAsia" w:hint="eastAsia"/>
          <w:sz w:val="32"/>
          <w:szCs w:val="32"/>
        </w:rPr>
        <w:t>39</w:t>
      </w:r>
      <w:r w:rsidR="00391AC8">
        <w:rPr>
          <w:rFonts w:asciiTheme="minorEastAsia" w:eastAsiaTheme="minorEastAsia" w:hAnsiTheme="minorEastAsia" w:hint="eastAsia"/>
          <w:sz w:val="32"/>
          <w:szCs w:val="32"/>
        </w:rPr>
        <w:t>,</w:t>
      </w:r>
      <w:r w:rsidR="003922A3" w:rsidRPr="003922A3">
        <w:rPr>
          <w:rFonts w:asciiTheme="minorEastAsia" w:eastAsiaTheme="minorEastAsia" w:hAnsiTheme="minorEastAsia" w:hint="eastAsia"/>
          <w:sz w:val="32"/>
          <w:szCs w:val="32"/>
        </w:rPr>
        <w:t>608.18</w:t>
      </w:r>
      <w:r>
        <w:rPr>
          <w:rFonts w:asciiTheme="minorEastAsia" w:eastAsiaTheme="minorEastAsia" w:hAnsiTheme="minorEastAsia"/>
          <w:sz w:val="32"/>
          <w:szCs w:val="32"/>
        </w:rPr>
        <w:t>万元，其中：基本支出</w:t>
      </w:r>
      <w:r w:rsidR="003922A3" w:rsidRPr="003922A3">
        <w:rPr>
          <w:rFonts w:asciiTheme="minorEastAsia" w:eastAsiaTheme="minorEastAsia" w:hAnsiTheme="minorEastAsia"/>
          <w:sz w:val="32"/>
          <w:szCs w:val="32"/>
        </w:rPr>
        <w:t>26</w:t>
      </w:r>
      <w:r w:rsidR="00391AC8">
        <w:rPr>
          <w:rFonts w:asciiTheme="minorEastAsia" w:eastAsiaTheme="minorEastAsia" w:hAnsiTheme="minorEastAsia" w:hint="eastAsia"/>
          <w:sz w:val="32"/>
          <w:szCs w:val="32"/>
        </w:rPr>
        <w:t>,</w:t>
      </w:r>
      <w:r w:rsidR="003922A3" w:rsidRPr="003922A3">
        <w:rPr>
          <w:rFonts w:asciiTheme="minorEastAsia" w:eastAsiaTheme="minorEastAsia" w:hAnsiTheme="minorEastAsia"/>
          <w:sz w:val="32"/>
          <w:szCs w:val="32"/>
        </w:rPr>
        <w:t>601.24</w:t>
      </w:r>
      <w:r>
        <w:rPr>
          <w:rFonts w:asciiTheme="minorEastAsia" w:eastAsiaTheme="minorEastAsia" w:hAnsiTheme="minorEastAsia"/>
          <w:sz w:val="32"/>
          <w:szCs w:val="32"/>
        </w:rPr>
        <w:t>万元，占</w:t>
      </w:r>
      <w:r w:rsidR="003922A3">
        <w:rPr>
          <w:rFonts w:asciiTheme="minorEastAsia" w:eastAsiaTheme="minorEastAsia" w:hAnsiTheme="minorEastAsia" w:hint="eastAsia"/>
          <w:sz w:val="32"/>
          <w:szCs w:val="32"/>
        </w:rPr>
        <w:t>67.16</w:t>
      </w:r>
      <w:r>
        <w:rPr>
          <w:rFonts w:asciiTheme="minorEastAsia" w:eastAsiaTheme="minorEastAsia" w:hAnsiTheme="minorEastAsia"/>
          <w:sz w:val="32"/>
          <w:szCs w:val="32"/>
        </w:rPr>
        <w:t>%；项目支出</w:t>
      </w:r>
      <w:r w:rsidR="003922A3" w:rsidRPr="003922A3">
        <w:rPr>
          <w:rFonts w:asciiTheme="minorEastAsia" w:eastAsiaTheme="minorEastAsia" w:hAnsiTheme="minorEastAsia"/>
          <w:sz w:val="32"/>
          <w:szCs w:val="32"/>
        </w:rPr>
        <w:t>10</w:t>
      </w:r>
      <w:r w:rsidR="00391AC8">
        <w:rPr>
          <w:rFonts w:asciiTheme="minorEastAsia" w:eastAsiaTheme="minorEastAsia" w:hAnsiTheme="minorEastAsia" w:hint="eastAsia"/>
          <w:sz w:val="32"/>
          <w:szCs w:val="32"/>
        </w:rPr>
        <w:t>,</w:t>
      </w:r>
      <w:r w:rsidR="003922A3" w:rsidRPr="003922A3">
        <w:rPr>
          <w:rFonts w:asciiTheme="minorEastAsia" w:eastAsiaTheme="minorEastAsia" w:hAnsiTheme="minorEastAsia"/>
          <w:sz w:val="32"/>
          <w:szCs w:val="32"/>
        </w:rPr>
        <w:t>938</w:t>
      </w:r>
      <w:r w:rsidR="003922A3" w:rsidRPr="003922A3">
        <w:rPr>
          <w:rFonts w:asciiTheme="minorEastAsia" w:eastAsiaTheme="minorEastAsia" w:hAnsiTheme="minorEastAsia" w:hint="eastAsia"/>
          <w:sz w:val="32"/>
          <w:szCs w:val="32"/>
        </w:rPr>
        <w:t>.</w:t>
      </w:r>
      <w:r w:rsidR="003922A3" w:rsidRPr="003922A3">
        <w:rPr>
          <w:rFonts w:asciiTheme="minorEastAsia" w:eastAsiaTheme="minorEastAsia" w:hAnsiTheme="minorEastAsia"/>
          <w:sz w:val="32"/>
          <w:szCs w:val="32"/>
        </w:rPr>
        <w:t>67</w:t>
      </w:r>
      <w:r>
        <w:rPr>
          <w:rFonts w:asciiTheme="minorEastAsia" w:eastAsiaTheme="minorEastAsia" w:hAnsiTheme="minorEastAsia"/>
          <w:sz w:val="32"/>
          <w:szCs w:val="32"/>
        </w:rPr>
        <w:t>万元，占</w:t>
      </w:r>
      <w:r w:rsidR="004265A4">
        <w:rPr>
          <w:rFonts w:asciiTheme="minorEastAsia" w:eastAsiaTheme="minorEastAsia" w:hAnsiTheme="minorEastAsia" w:hint="eastAsia"/>
          <w:sz w:val="32"/>
          <w:szCs w:val="32"/>
        </w:rPr>
        <w:t>27.62</w:t>
      </w:r>
      <w:r>
        <w:rPr>
          <w:rFonts w:asciiTheme="minorEastAsia" w:eastAsiaTheme="minorEastAsia" w:hAnsiTheme="minorEastAsia"/>
          <w:sz w:val="32"/>
          <w:szCs w:val="32"/>
        </w:rPr>
        <w:t>%</w:t>
      </w:r>
      <w:r w:rsidR="004265A4">
        <w:rPr>
          <w:rFonts w:asciiTheme="minorEastAsia" w:eastAsiaTheme="minorEastAsia" w:hAnsiTheme="minorEastAsia" w:hint="eastAsia"/>
          <w:sz w:val="32"/>
          <w:szCs w:val="32"/>
        </w:rPr>
        <w:t>,经营支出2</w:t>
      </w:r>
      <w:r w:rsidR="00391AC8">
        <w:rPr>
          <w:rFonts w:asciiTheme="minorEastAsia" w:eastAsiaTheme="minorEastAsia" w:hAnsiTheme="minorEastAsia" w:hint="eastAsia"/>
          <w:sz w:val="32"/>
          <w:szCs w:val="32"/>
        </w:rPr>
        <w:t>,</w:t>
      </w:r>
      <w:r w:rsidR="004265A4">
        <w:rPr>
          <w:rFonts w:asciiTheme="minorEastAsia" w:eastAsiaTheme="minorEastAsia" w:hAnsiTheme="minorEastAsia" w:hint="eastAsia"/>
          <w:sz w:val="32"/>
          <w:szCs w:val="32"/>
        </w:rPr>
        <w:t>068.27万元，占5.22%</w:t>
      </w:r>
      <w:r w:rsidR="003922A3">
        <w:rPr>
          <w:rFonts w:asciiTheme="minorEastAsia" w:eastAsiaTheme="minorEastAsia" w:hAnsiTheme="minorEastAsia" w:hint="eastAsia"/>
          <w:sz w:val="32"/>
          <w:szCs w:val="32"/>
        </w:rPr>
        <w:t>。</w:t>
      </w:r>
      <w:r w:rsidR="003922A3">
        <w:rPr>
          <w:rFonts w:asciiTheme="minorEastAsia" w:eastAsiaTheme="minorEastAsia" w:hAnsiTheme="minorEastAsia"/>
          <w:sz w:val="32"/>
          <w:szCs w:val="32"/>
        </w:rPr>
        <w:t xml:space="preserve"> </w:t>
      </w:r>
    </w:p>
    <w:p w:rsidR="003C0489" w:rsidRPr="00540254" w:rsidRDefault="0067602F" w:rsidP="00540254">
      <w:pPr>
        <w:pStyle w:val="Default"/>
        <w:ind w:firstLineChars="196" w:firstLine="627"/>
        <w:rPr>
          <w:rFonts w:hAnsi="黑体"/>
          <w:sz w:val="32"/>
          <w:szCs w:val="32"/>
        </w:rPr>
      </w:pPr>
      <w:r w:rsidRPr="00540254">
        <w:rPr>
          <w:rFonts w:hAnsi="黑体" w:hint="eastAsia"/>
          <w:sz w:val="32"/>
          <w:szCs w:val="32"/>
        </w:rPr>
        <w:t>四、财政拨款收入支出决算总体情况说明</w:t>
      </w:r>
    </w:p>
    <w:p w:rsidR="003C0489" w:rsidRDefault="0067602F">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2020年度财政拨款收、支总计</w:t>
      </w:r>
      <w:r w:rsidR="004265A4">
        <w:rPr>
          <w:rFonts w:asciiTheme="minorEastAsia" w:eastAsiaTheme="minorEastAsia" w:hAnsiTheme="minorEastAsia" w:hint="eastAsia"/>
          <w:sz w:val="32"/>
          <w:szCs w:val="32"/>
        </w:rPr>
        <w:t>20</w:t>
      </w:r>
      <w:r w:rsidR="00391AC8">
        <w:rPr>
          <w:rFonts w:asciiTheme="minorEastAsia" w:eastAsiaTheme="minorEastAsia" w:hAnsiTheme="minorEastAsia" w:hint="eastAsia"/>
          <w:sz w:val="32"/>
          <w:szCs w:val="32"/>
        </w:rPr>
        <w:t>,</w:t>
      </w:r>
      <w:r w:rsidR="004265A4">
        <w:rPr>
          <w:rFonts w:asciiTheme="minorEastAsia" w:eastAsiaTheme="minorEastAsia" w:hAnsiTheme="minorEastAsia" w:hint="eastAsia"/>
          <w:sz w:val="32"/>
          <w:szCs w:val="32"/>
        </w:rPr>
        <w:t>189.60</w:t>
      </w:r>
      <w:r>
        <w:rPr>
          <w:rFonts w:asciiTheme="minorEastAsia" w:eastAsiaTheme="minorEastAsia" w:hAnsiTheme="minorEastAsia" w:hint="eastAsia"/>
          <w:sz w:val="32"/>
          <w:szCs w:val="32"/>
        </w:rPr>
        <w:t>万元，与上年相比，增加</w:t>
      </w:r>
      <w:r w:rsidR="004265A4">
        <w:rPr>
          <w:rFonts w:asciiTheme="minorEastAsia" w:eastAsiaTheme="minorEastAsia" w:hAnsiTheme="minorEastAsia" w:hint="eastAsia"/>
          <w:sz w:val="32"/>
          <w:szCs w:val="32"/>
        </w:rPr>
        <w:t>363.95</w:t>
      </w:r>
      <w:r>
        <w:rPr>
          <w:rFonts w:asciiTheme="minorEastAsia" w:eastAsiaTheme="minorEastAsia" w:hAnsiTheme="minorEastAsia" w:hint="eastAsia"/>
          <w:sz w:val="32"/>
          <w:szCs w:val="32"/>
        </w:rPr>
        <w:t>万元,增长</w:t>
      </w:r>
      <w:r w:rsidR="004265A4">
        <w:rPr>
          <w:rFonts w:asciiTheme="minorEastAsia" w:eastAsiaTheme="minorEastAsia" w:hAnsiTheme="minorEastAsia" w:hint="eastAsia"/>
          <w:sz w:val="32"/>
          <w:szCs w:val="32"/>
        </w:rPr>
        <w:t>1.84</w:t>
      </w:r>
      <w:r>
        <w:rPr>
          <w:rFonts w:asciiTheme="minorEastAsia" w:eastAsiaTheme="minorEastAsia" w:hAnsiTheme="minorEastAsia" w:hint="eastAsia"/>
          <w:sz w:val="32"/>
          <w:szCs w:val="32"/>
        </w:rPr>
        <w:t>%</w:t>
      </w:r>
      <w:r w:rsidR="004265A4">
        <w:rPr>
          <w:rFonts w:asciiTheme="minorEastAsia" w:eastAsiaTheme="minorEastAsia" w:hAnsiTheme="minorEastAsia" w:hint="eastAsia"/>
          <w:sz w:val="32"/>
          <w:szCs w:val="32"/>
        </w:rPr>
        <w:t>。</w:t>
      </w:r>
    </w:p>
    <w:p w:rsidR="003C0489" w:rsidRPr="00540254" w:rsidRDefault="0067602F" w:rsidP="00540254">
      <w:pPr>
        <w:pStyle w:val="Default"/>
        <w:ind w:firstLineChars="196" w:firstLine="627"/>
        <w:rPr>
          <w:rFonts w:hAnsi="黑体"/>
          <w:sz w:val="32"/>
          <w:szCs w:val="32"/>
        </w:rPr>
      </w:pPr>
      <w:r w:rsidRPr="00540254">
        <w:rPr>
          <w:rFonts w:hAnsi="黑体" w:hint="eastAsia"/>
          <w:sz w:val="32"/>
          <w:szCs w:val="32"/>
        </w:rPr>
        <w:t>五、一般公共预算财政拨款支出决算情况说明</w:t>
      </w:r>
    </w:p>
    <w:p w:rsidR="003C0489" w:rsidRPr="00540254" w:rsidRDefault="0067602F" w:rsidP="00540254">
      <w:pPr>
        <w:pStyle w:val="Default"/>
        <w:ind w:firstLineChars="200" w:firstLine="640"/>
        <w:rPr>
          <w:rFonts w:asciiTheme="minorEastAsia" w:eastAsiaTheme="minorEastAsia" w:hAnsiTheme="minorEastAsia"/>
          <w:sz w:val="32"/>
          <w:szCs w:val="32"/>
        </w:rPr>
      </w:pPr>
      <w:r w:rsidRPr="00540254">
        <w:rPr>
          <w:rFonts w:asciiTheme="minorEastAsia" w:eastAsiaTheme="minorEastAsia" w:hAnsiTheme="minorEastAsia" w:hint="eastAsia"/>
          <w:sz w:val="32"/>
          <w:szCs w:val="32"/>
        </w:rPr>
        <w:t>（一）财政拨款支出决算总体情况</w:t>
      </w:r>
    </w:p>
    <w:p w:rsidR="003C0489" w:rsidRDefault="0067602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w:t>
      </w:r>
      <w:r w:rsidR="004265A4" w:rsidRPr="001C62FE">
        <w:rPr>
          <w:sz w:val="32"/>
          <w:szCs w:val="32"/>
        </w:rPr>
        <w:t>1</w:t>
      </w:r>
      <w:r w:rsidR="004265A4" w:rsidRPr="001C62FE">
        <w:rPr>
          <w:rFonts w:asciiTheme="minorEastAsia" w:eastAsiaTheme="minorEastAsia" w:hAnsiTheme="minorEastAsia"/>
          <w:sz w:val="32"/>
          <w:szCs w:val="32"/>
        </w:rPr>
        <w:t>7</w:t>
      </w:r>
      <w:r w:rsidR="00391AC8">
        <w:rPr>
          <w:rFonts w:asciiTheme="minorEastAsia" w:eastAsiaTheme="minorEastAsia" w:hAnsiTheme="minorEastAsia" w:hint="eastAsia"/>
          <w:sz w:val="32"/>
          <w:szCs w:val="32"/>
        </w:rPr>
        <w:t>,</w:t>
      </w:r>
      <w:r w:rsidR="004265A4" w:rsidRPr="001C62FE">
        <w:rPr>
          <w:rFonts w:asciiTheme="minorEastAsia" w:eastAsiaTheme="minorEastAsia" w:hAnsiTheme="minorEastAsia"/>
          <w:sz w:val="32"/>
          <w:szCs w:val="32"/>
        </w:rPr>
        <w:t>738</w:t>
      </w:r>
      <w:r w:rsidR="004265A4" w:rsidRPr="001C62FE">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万元，占本年支出合计的</w:t>
      </w:r>
      <w:r w:rsidR="004265A4">
        <w:rPr>
          <w:rFonts w:asciiTheme="minorEastAsia" w:eastAsiaTheme="minorEastAsia" w:hAnsiTheme="minorEastAsia" w:hint="eastAsia"/>
          <w:sz w:val="32"/>
          <w:szCs w:val="32"/>
        </w:rPr>
        <w:t>44.78</w:t>
      </w:r>
      <w:r>
        <w:rPr>
          <w:rFonts w:asciiTheme="minorEastAsia" w:eastAsiaTheme="minorEastAsia" w:hAnsiTheme="minorEastAsia" w:hint="eastAsia"/>
          <w:sz w:val="32"/>
          <w:szCs w:val="32"/>
        </w:rPr>
        <w:t>%，与上年相比，财政拨款支出</w:t>
      </w:r>
      <w:r w:rsidR="001C62FE">
        <w:rPr>
          <w:rFonts w:asciiTheme="minorEastAsia" w:eastAsiaTheme="minorEastAsia" w:hAnsiTheme="minorEastAsia" w:hint="eastAsia"/>
          <w:sz w:val="32"/>
          <w:szCs w:val="32"/>
        </w:rPr>
        <w:t>减少1</w:t>
      </w:r>
      <w:r w:rsidR="00391AC8">
        <w:rPr>
          <w:rFonts w:asciiTheme="minorEastAsia" w:eastAsiaTheme="minorEastAsia" w:hAnsiTheme="minorEastAsia" w:hint="eastAsia"/>
          <w:sz w:val="32"/>
          <w:szCs w:val="32"/>
        </w:rPr>
        <w:t>,</w:t>
      </w:r>
      <w:r w:rsidR="001C62FE">
        <w:rPr>
          <w:rFonts w:asciiTheme="minorEastAsia" w:eastAsiaTheme="minorEastAsia" w:hAnsiTheme="minorEastAsia" w:hint="eastAsia"/>
          <w:sz w:val="32"/>
          <w:szCs w:val="32"/>
        </w:rPr>
        <w:t>912.53</w:t>
      </w:r>
      <w:r>
        <w:rPr>
          <w:rFonts w:asciiTheme="minorEastAsia" w:eastAsiaTheme="minorEastAsia" w:hAnsiTheme="minorEastAsia" w:hint="eastAsia"/>
          <w:sz w:val="32"/>
          <w:szCs w:val="32"/>
        </w:rPr>
        <w:t>万元，</w:t>
      </w:r>
      <w:r w:rsidR="001C62FE">
        <w:rPr>
          <w:rFonts w:asciiTheme="minorEastAsia" w:eastAsiaTheme="minorEastAsia" w:hAnsiTheme="minorEastAsia" w:hint="eastAsia"/>
          <w:sz w:val="32"/>
          <w:szCs w:val="32"/>
        </w:rPr>
        <w:t>减少9.73</w:t>
      </w:r>
      <w:r>
        <w:rPr>
          <w:rFonts w:asciiTheme="minorEastAsia" w:eastAsiaTheme="minorEastAsia" w:hAnsiTheme="minorEastAsia" w:hint="eastAsia"/>
          <w:sz w:val="32"/>
          <w:szCs w:val="32"/>
        </w:rPr>
        <w:t>%，主要是因为</w:t>
      </w:r>
      <w:r w:rsidR="001C62FE" w:rsidRPr="001C62FE">
        <w:rPr>
          <w:rFonts w:asciiTheme="minorEastAsia" w:eastAsiaTheme="minorEastAsia" w:hAnsiTheme="minorEastAsia" w:hint="eastAsia"/>
          <w:sz w:val="32"/>
          <w:szCs w:val="32"/>
        </w:rPr>
        <w:t>部分工程项目未完工，</w:t>
      </w:r>
      <w:r w:rsidR="00906460">
        <w:rPr>
          <w:rFonts w:asciiTheme="minorEastAsia" w:eastAsiaTheme="minorEastAsia" w:hAnsiTheme="minorEastAsia" w:hint="eastAsia"/>
          <w:sz w:val="32"/>
          <w:szCs w:val="32"/>
        </w:rPr>
        <w:t>未</w:t>
      </w:r>
      <w:r w:rsidR="00906460" w:rsidRPr="001C62FE">
        <w:rPr>
          <w:rFonts w:asciiTheme="minorEastAsia" w:eastAsiaTheme="minorEastAsia" w:hAnsiTheme="minorEastAsia" w:hint="eastAsia"/>
          <w:sz w:val="32"/>
          <w:szCs w:val="32"/>
        </w:rPr>
        <w:t>结算</w:t>
      </w:r>
      <w:r w:rsidR="001C62FE" w:rsidRPr="001C62FE">
        <w:rPr>
          <w:rFonts w:asciiTheme="minorEastAsia" w:eastAsiaTheme="minorEastAsia" w:hAnsiTheme="minorEastAsia" w:hint="eastAsia"/>
          <w:sz w:val="32"/>
          <w:szCs w:val="32"/>
        </w:rPr>
        <w:t>项目款，</w:t>
      </w:r>
      <w:r w:rsidR="00906460">
        <w:rPr>
          <w:rFonts w:asciiTheme="minorEastAsia" w:eastAsiaTheme="minorEastAsia" w:hAnsiTheme="minorEastAsia" w:hint="eastAsia"/>
          <w:sz w:val="32"/>
          <w:szCs w:val="32"/>
        </w:rPr>
        <w:t>导致</w:t>
      </w:r>
      <w:r w:rsidR="001C62FE" w:rsidRPr="001C62FE">
        <w:rPr>
          <w:rFonts w:asciiTheme="minorEastAsia" w:eastAsiaTheme="minorEastAsia" w:hAnsiTheme="minorEastAsia" w:hint="eastAsia"/>
          <w:sz w:val="32"/>
          <w:szCs w:val="32"/>
        </w:rPr>
        <w:t>本年财政拨款结余2</w:t>
      </w:r>
      <w:r w:rsidR="00391AC8">
        <w:rPr>
          <w:rFonts w:asciiTheme="minorEastAsia" w:eastAsiaTheme="minorEastAsia" w:hAnsiTheme="minorEastAsia" w:hint="eastAsia"/>
          <w:sz w:val="32"/>
          <w:szCs w:val="32"/>
        </w:rPr>
        <w:t>,</w:t>
      </w:r>
      <w:r w:rsidR="001C62FE" w:rsidRPr="001C62FE">
        <w:rPr>
          <w:rFonts w:asciiTheme="minorEastAsia" w:eastAsiaTheme="minorEastAsia" w:hAnsiTheme="minorEastAsia" w:hint="eastAsia"/>
          <w:sz w:val="32"/>
          <w:szCs w:val="32"/>
        </w:rPr>
        <w:t>451.31万元</w:t>
      </w:r>
      <w:r w:rsidR="004265A4" w:rsidRPr="001C62FE">
        <w:rPr>
          <w:rFonts w:asciiTheme="minorEastAsia" w:eastAsiaTheme="minorEastAsia" w:hAnsiTheme="minorEastAsia" w:hint="eastAsia"/>
          <w:sz w:val="32"/>
          <w:szCs w:val="32"/>
        </w:rPr>
        <w:t>。</w:t>
      </w:r>
    </w:p>
    <w:p w:rsidR="003C0489" w:rsidRPr="00540254" w:rsidRDefault="0067602F" w:rsidP="00540254">
      <w:pPr>
        <w:pStyle w:val="Default"/>
        <w:ind w:firstLineChars="150" w:firstLine="480"/>
        <w:rPr>
          <w:rFonts w:asciiTheme="minorEastAsia" w:eastAsiaTheme="minorEastAsia" w:hAnsiTheme="minorEastAsia"/>
          <w:sz w:val="32"/>
          <w:szCs w:val="32"/>
        </w:rPr>
      </w:pPr>
      <w:r w:rsidRPr="00540254">
        <w:rPr>
          <w:rFonts w:asciiTheme="minorEastAsia" w:eastAsiaTheme="minorEastAsia" w:hAnsiTheme="minorEastAsia" w:hint="eastAsia"/>
          <w:sz w:val="32"/>
          <w:szCs w:val="32"/>
        </w:rPr>
        <w:t>（二）财政拨款支出决算结构情况</w:t>
      </w:r>
    </w:p>
    <w:p w:rsidR="003C0489" w:rsidRPr="00906460" w:rsidRDefault="0067602F">
      <w:pPr>
        <w:pStyle w:val="Default"/>
        <w:ind w:firstLineChars="200" w:firstLine="640"/>
        <w:rPr>
          <w:rFonts w:asciiTheme="minorEastAsia" w:eastAsiaTheme="minorEastAsia" w:hAnsiTheme="minorEastAsia"/>
          <w:sz w:val="32"/>
          <w:szCs w:val="32"/>
        </w:rPr>
      </w:pPr>
      <w:r w:rsidRPr="00906460">
        <w:rPr>
          <w:rFonts w:asciiTheme="minorEastAsia" w:eastAsiaTheme="minorEastAsia" w:hAnsiTheme="minorEastAsia" w:hint="eastAsia"/>
          <w:sz w:val="32"/>
          <w:szCs w:val="32"/>
        </w:rPr>
        <w:t>2020年度财政拨款支出</w:t>
      </w:r>
      <w:r w:rsidR="00932E9F" w:rsidRPr="00906460">
        <w:rPr>
          <w:rFonts w:asciiTheme="minorEastAsia" w:eastAsiaTheme="minorEastAsia" w:hAnsiTheme="minorEastAsia"/>
          <w:sz w:val="32"/>
          <w:szCs w:val="32"/>
        </w:rPr>
        <w:t>17</w:t>
      </w:r>
      <w:r w:rsidR="00391AC8">
        <w:rPr>
          <w:rFonts w:asciiTheme="minorEastAsia" w:eastAsiaTheme="minorEastAsia" w:hAnsiTheme="minorEastAsia" w:hint="eastAsia"/>
          <w:sz w:val="32"/>
          <w:szCs w:val="32"/>
        </w:rPr>
        <w:t>,</w:t>
      </w:r>
      <w:r w:rsidR="00932E9F" w:rsidRPr="00906460">
        <w:rPr>
          <w:rFonts w:asciiTheme="minorEastAsia" w:eastAsiaTheme="minorEastAsia" w:hAnsiTheme="minorEastAsia"/>
          <w:sz w:val="32"/>
          <w:szCs w:val="32"/>
        </w:rPr>
        <w:t>738.30</w:t>
      </w:r>
      <w:r w:rsidRPr="00906460">
        <w:rPr>
          <w:rFonts w:asciiTheme="minorEastAsia" w:eastAsiaTheme="minorEastAsia" w:hAnsiTheme="minorEastAsia" w:hint="eastAsia"/>
          <w:sz w:val="32"/>
          <w:szCs w:val="32"/>
        </w:rPr>
        <w:t>万元，主要用于以下方面：一般公共服务（类）支出</w:t>
      </w:r>
      <w:r w:rsidR="00932E9F" w:rsidRPr="00906460">
        <w:rPr>
          <w:rFonts w:asciiTheme="minorEastAsia" w:eastAsiaTheme="minorEastAsia" w:hAnsiTheme="minorEastAsia" w:hint="eastAsia"/>
          <w:sz w:val="32"/>
          <w:szCs w:val="32"/>
        </w:rPr>
        <w:t>370.00</w:t>
      </w:r>
      <w:r w:rsidRPr="00906460">
        <w:rPr>
          <w:rFonts w:asciiTheme="minorEastAsia" w:eastAsiaTheme="minorEastAsia" w:hAnsiTheme="minorEastAsia" w:hint="eastAsia"/>
          <w:sz w:val="32"/>
          <w:szCs w:val="32"/>
        </w:rPr>
        <w:t>万元，占</w:t>
      </w:r>
      <w:r w:rsidR="00932E9F" w:rsidRPr="00906460">
        <w:rPr>
          <w:rFonts w:asciiTheme="minorEastAsia" w:eastAsiaTheme="minorEastAsia" w:hAnsiTheme="minorEastAsia" w:hint="eastAsia"/>
          <w:sz w:val="32"/>
          <w:szCs w:val="32"/>
        </w:rPr>
        <w:t>2.09</w:t>
      </w:r>
      <w:r w:rsidRPr="00906460">
        <w:rPr>
          <w:rFonts w:asciiTheme="minorEastAsia" w:eastAsiaTheme="minorEastAsia" w:hAnsiTheme="minorEastAsia" w:hint="eastAsia"/>
          <w:sz w:val="32"/>
          <w:szCs w:val="32"/>
        </w:rPr>
        <w:t>%；教育（类）支出</w:t>
      </w:r>
      <w:r w:rsidR="00932E9F" w:rsidRPr="00906460">
        <w:rPr>
          <w:rFonts w:asciiTheme="minorEastAsia" w:eastAsiaTheme="minorEastAsia" w:hAnsiTheme="minorEastAsia" w:hint="eastAsia"/>
          <w:sz w:val="32"/>
          <w:szCs w:val="32"/>
        </w:rPr>
        <w:t>17</w:t>
      </w:r>
      <w:r w:rsidR="00391AC8">
        <w:rPr>
          <w:rFonts w:asciiTheme="minorEastAsia" w:eastAsiaTheme="minorEastAsia" w:hAnsiTheme="minorEastAsia" w:hint="eastAsia"/>
          <w:sz w:val="32"/>
          <w:szCs w:val="32"/>
        </w:rPr>
        <w:t>,</w:t>
      </w:r>
      <w:r w:rsidR="00932E9F" w:rsidRPr="00906460">
        <w:rPr>
          <w:rFonts w:asciiTheme="minorEastAsia" w:eastAsiaTheme="minorEastAsia" w:hAnsiTheme="minorEastAsia" w:hint="eastAsia"/>
          <w:sz w:val="32"/>
          <w:szCs w:val="32"/>
        </w:rPr>
        <w:t>268.95</w:t>
      </w:r>
      <w:r w:rsidRPr="00906460">
        <w:rPr>
          <w:rFonts w:asciiTheme="minorEastAsia" w:eastAsiaTheme="minorEastAsia" w:hAnsiTheme="minorEastAsia" w:hint="eastAsia"/>
          <w:sz w:val="32"/>
          <w:szCs w:val="32"/>
        </w:rPr>
        <w:t>万元，占</w:t>
      </w:r>
      <w:r w:rsidR="00932E9F" w:rsidRPr="00906460">
        <w:rPr>
          <w:rFonts w:asciiTheme="minorEastAsia" w:eastAsiaTheme="minorEastAsia" w:hAnsiTheme="minorEastAsia" w:hint="eastAsia"/>
          <w:sz w:val="32"/>
          <w:szCs w:val="32"/>
        </w:rPr>
        <w:t>97.35</w:t>
      </w:r>
      <w:r w:rsidRPr="00906460">
        <w:rPr>
          <w:rFonts w:asciiTheme="minorEastAsia" w:eastAsiaTheme="minorEastAsia" w:hAnsiTheme="minorEastAsia" w:hint="eastAsia"/>
          <w:sz w:val="32"/>
          <w:szCs w:val="32"/>
        </w:rPr>
        <w:t>%;</w:t>
      </w:r>
      <w:r w:rsidR="00932E9F" w:rsidRPr="00906460">
        <w:rPr>
          <w:rFonts w:asciiTheme="minorEastAsia" w:eastAsiaTheme="minorEastAsia" w:hAnsiTheme="minorEastAsia" w:hint="eastAsia"/>
          <w:sz w:val="32"/>
          <w:szCs w:val="32"/>
        </w:rPr>
        <w:t>科学技术支出85.35万元，占0.48%；社会保障和就业支出14.00万元,</w:t>
      </w:r>
      <w:r w:rsidR="00932E9F" w:rsidRPr="00906460">
        <w:rPr>
          <w:rFonts w:asciiTheme="minorEastAsia" w:eastAsiaTheme="minorEastAsia" w:hAnsiTheme="minorEastAsia" w:hint="eastAsia"/>
          <w:sz w:val="32"/>
          <w:szCs w:val="32"/>
        </w:rPr>
        <w:lastRenderedPageBreak/>
        <w:t>占0.08%。</w:t>
      </w:r>
    </w:p>
    <w:p w:rsidR="003C0489" w:rsidRPr="00540254" w:rsidRDefault="0067602F" w:rsidP="00540254">
      <w:pPr>
        <w:pStyle w:val="Default"/>
        <w:ind w:firstLineChars="250" w:firstLine="800"/>
        <w:rPr>
          <w:rFonts w:asciiTheme="minorEastAsia" w:eastAsiaTheme="minorEastAsia" w:hAnsiTheme="minorEastAsia"/>
          <w:sz w:val="32"/>
          <w:szCs w:val="32"/>
        </w:rPr>
      </w:pPr>
      <w:r w:rsidRPr="00540254">
        <w:rPr>
          <w:rFonts w:asciiTheme="minorEastAsia" w:eastAsiaTheme="minorEastAsia" w:hAnsiTheme="minorEastAsia" w:hint="eastAsia"/>
          <w:sz w:val="32"/>
          <w:szCs w:val="32"/>
        </w:rPr>
        <w:t>（三）财政拨款支出决算具体情况</w:t>
      </w:r>
    </w:p>
    <w:p w:rsidR="003C0489" w:rsidRDefault="0067602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2020年度财政拨款支出年初预算数为</w:t>
      </w:r>
      <w:r w:rsidR="00932E9F">
        <w:rPr>
          <w:rFonts w:asciiTheme="minorEastAsia" w:eastAsiaTheme="minorEastAsia" w:hAnsiTheme="minorEastAsia" w:hint="eastAsia"/>
          <w:sz w:val="32"/>
          <w:szCs w:val="32"/>
        </w:rPr>
        <w:t>14</w:t>
      </w:r>
      <w:r w:rsidR="00391AC8">
        <w:rPr>
          <w:rFonts w:asciiTheme="minorEastAsia" w:eastAsiaTheme="minorEastAsia" w:hAnsiTheme="minorEastAsia" w:hint="eastAsia"/>
          <w:sz w:val="32"/>
          <w:szCs w:val="32"/>
        </w:rPr>
        <w:t>,</w:t>
      </w:r>
      <w:r w:rsidR="00932E9F">
        <w:rPr>
          <w:rFonts w:asciiTheme="minorEastAsia" w:eastAsiaTheme="minorEastAsia" w:hAnsiTheme="minorEastAsia" w:hint="eastAsia"/>
          <w:sz w:val="32"/>
          <w:szCs w:val="32"/>
        </w:rPr>
        <w:t>376.84</w:t>
      </w:r>
      <w:r>
        <w:rPr>
          <w:rFonts w:asciiTheme="minorEastAsia" w:eastAsiaTheme="minorEastAsia" w:hAnsiTheme="minorEastAsia" w:hint="eastAsia"/>
          <w:sz w:val="32"/>
          <w:szCs w:val="32"/>
        </w:rPr>
        <w:t>万元，支出决算数为</w:t>
      </w:r>
      <w:r w:rsidR="00932E9F" w:rsidRPr="00932E9F">
        <w:rPr>
          <w:rFonts w:asciiTheme="minorEastAsia" w:eastAsiaTheme="minorEastAsia" w:hAnsiTheme="minorEastAsia"/>
          <w:sz w:val="32"/>
          <w:szCs w:val="32"/>
        </w:rPr>
        <w:t>17</w:t>
      </w:r>
      <w:r w:rsidR="00391AC8">
        <w:rPr>
          <w:rFonts w:asciiTheme="minorEastAsia" w:eastAsiaTheme="minorEastAsia" w:hAnsiTheme="minorEastAsia" w:hint="eastAsia"/>
          <w:sz w:val="32"/>
          <w:szCs w:val="32"/>
        </w:rPr>
        <w:t>,</w:t>
      </w:r>
      <w:r w:rsidR="00932E9F" w:rsidRPr="00932E9F">
        <w:rPr>
          <w:rFonts w:asciiTheme="minorEastAsia" w:eastAsiaTheme="minorEastAsia" w:hAnsiTheme="minorEastAsia"/>
          <w:sz w:val="32"/>
          <w:szCs w:val="32"/>
        </w:rPr>
        <w:t>738.30</w:t>
      </w:r>
      <w:r>
        <w:rPr>
          <w:rFonts w:asciiTheme="minorEastAsia" w:eastAsiaTheme="minorEastAsia" w:hAnsiTheme="minorEastAsia" w:hint="eastAsia"/>
          <w:sz w:val="32"/>
          <w:szCs w:val="32"/>
        </w:rPr>
        <w:t>万元，完成年初预算的</w:t>
      </w:r>
      <w:r w:rsidR="00932E9F">
        <w:rPr>
          <w:rFonts w:asciiTheme="minorEastAsia" w:eastAsiaTheme="minorEastAsia" w:hAnsiTheme="minorEastAsia" w:hint="eastAsia"/>
          <w:sz w:val="32"/>
          <w:szCs w:val="32"/>
        </w:rPr>
        <w:t>123.38</w:t>
      </w:r>
      <w:r>
        <w:rPr>
          <w:rFonts w:asciiTheme="minorEastAsia" w:eastAsiaTheme="minorEastAsia" w:hAnsiTheme="minorEastAsia" w:hint="eastAsia"/>
          <w:sz w:val="32"/>
          <w:szCs w:val="32"/>
        </w:rPr>
        <w:t>%，其中：</w:t>
      </w:r>
    </w:p>
    <w:p w:rsidR="003C0489" w:rsidRDefault="0067602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1、一般公共服务</w:t>
      </w:r>
      <w:r w:rsidR="00932E9F">
        <w:rPr>
          <w:rFonts w:asciiTheme="minorEastAsia" w:eastAsiaTheme="minorEastAsia" w:hAnsiTheme="minorEastAsia" w:hint="eastAsia"/>
          <w:sz w:val="32"/>
          <w:szCs w:val="32"/>
        </w:rPr>
        <w:t>支出</w:t>
      </w:r>
    </w:p>
    <w:p w:rsidR="003C0489" w:rsidRDefault="0067602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EB5820">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sidR="00EB5820">
        <w:rPr>
          <w:rFonts w:asciiTheme="minorEastAsia" w:eastAsiaTheme="minorEastAsia" w:hAnsiTheme="minorEastAsia" w:hint="eastAsia"/>
          <w:sz w:val="32"/>
          <w:szCs w:val="32"/>
        </w:rPr>
        <w:t>370.00</w:t>
      </w:r>
      <w:r>
        <w:rPr>
          <w:rFonts w:asciiTheme="minorEastAsia" w:eastAsiaTheme="minorEastAsia" w:hAnsiTheme="minorEastAsia" w:hint="eastAsia"/>
          <w:sz w:val="32"/>
          <w:szCs w:val="32"/>
        </w:rPr>
        <w:t>万元，决算数大于年初预算数的主要原因是：</w:t>
      </w:r>
      <w:r w:rsidR="00EB5820" w:rsidRPr="00C17B8A">
        <w:rPr>
          <w:rFonts w:asciiTheme="minorEastAsia" w:eastAsiaTheme="minorEastAsia" w:hAnsiTheme="minorEastAsia" w:hint="eastAsia"/>
          <w:sz w:val="32"/>
          <w:szCs w:val="32"/>
        </w:rPr>
        <w:t>年中</w:t>
      </w:r>
      <w:r w:rsidR="00EB5820" w:rsidRPr="00C17B8A">
        <w:rPr>
          <w:rFonts w:asciiTheme="minorEastAsia" w:eastAsiaTheme="minorEastAsia" w:hAnsiTheme="minorEastAsia"/>
          <w:sz w:val="32"/>
          <w:szCs w:val="32"/>
        </w:rPr>
        <w:t>追加的</w:t>
      </w:r>
      <w:r w:rsidR="0081315B">
        <w:rPr>
          <w:rFonts w:asciiTheme="minorEastAsia" w:eastAsiaTheme="minorEastAsia" w:hAnsiTheme="minorEastAsia" w:hint="eastAsia"/>
          <w:sz w:val="32"/>
          <w:szCs w:val="32"/>
        </w:rPr>
        <w:t>专项</w:t>
      </w:r>
      <w:r w:rsidR="00EB5820" w:rsidRPr="00C17B8A">
        <w:rPr>
          <w:rFonts w:asciiTheme="minorEastAsia" w:eastAsiaTheme="minorEastAsia" w:hAnsiTheme="minorEastAsia"/>
          <w:sz w:val="32"/>
          <w:szCs w:val="32"/>
        </w:rPr>
        <w:t>拨款</w:t>
      </w:r>
      <w:r w:rsidR="00C17B8A" w:rsidRPr="00C17B8A">
        <w:rPr>
          <w:rFonts w:asciiTheme="minorEastAsia" w:eastAsiaTheme="minorEastAsia" w:hAnsiTheme="minorEastAsia" w:hint="eastAsia"/>
          <w:sz w:val="32"/>
          <w:szCs w:val="32"/>
        </w:rPr>
        <w:t>，已用于学校事务支出</w:t>
      </w:r>
      <w:r w:rsidR="00EB5820" w:rsidRPr="00C17B8A">
        <w:rPr>
          <w:rFonts w:asciiTheme="minorEastAsia" w:eastAsiaTheme="minorEastAsia" w:hAnsiTheme="minorEastAsia" w:hint="eastAsia"/>
          <w:sz w:val="32"/>
          <w:szCs w:val="32"/>
        </w:rPr>
        <w:t>。</w:t>
      </w:r>
    </w:p>
    <w:p w:rsidR="003C0489" w:rsidRDefault="0067602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EB5820">
        <w:rPr>
          <w:rFonts w:asciiTheme="minorEastAsia" w:eastAsiaTheme="minorEastAsia" w:hAnsiTheme="minorEastAsia" w:hint="eastAsia"/>
          <w:sz w:val="32"/>
          <w:szCs w:val="32"/>
        </w:rPr>
        <w:t>教育支出</w:t>
      </w:r>
    </w:p>
    <w:p w:rsidR="003C0489" w:rsidRDefault="0067602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EB5820">
        <w:rPr>
          <w:rFonts w:asciiTheme="minorEastAsia" w:eastAsiaTheme="minorEastAsia" w:hAnsiTheme="minorEastAsia" w:hint="eastAsia"/>
          <w:sz w:val="32"/>
          <w:szCs w:val="32"/>
        </w:rPr>
        <w:t>14</w:t>
      </w:r>
      <w:r w:rsidR="00391AC8">
        <w:rPr>
          <w:rFonts w:asciiTheme="minorEastAsia" w:eastAsiaTheme="minorEastAsia" w:hAnsiTheme="minorEastAsia" w:hint="eastAsia"/>
          <w:sz w:val="32"/>
          <w:szCs w:val="32"/>
        </w:rPr>
        <w:t>,</w:t>
      </w:r>
      <w:r w:rsidR="00EB5820">
        <w:rPr>
          <w:rFonts w:asciiTheme="minorEastAsia" w:eastAsiaTheme="minorEastAsia" w:hAnsiTheme="minorEastAsia" w:hint="eastAsia"/>
          <w:sz w:val="32"/>
          <w:szCs w:val="32"/>
        </w:rPr>
        <w:t>376.84</w:t>
      </w:r>
      <w:r>
        <w:rPr>
          <w:rFonts w:asciiTheme="minorEastAsia" w:eastAsiaTheme="minorEastAsia" w:hAnsiTheme="minorEastAsia" w:hint="eastAsia"/>
          <w:sz w:val="32"/>
          <w:szCs w:val="32"/>
        </w:rPr>
        <w:t>万元，支出决算为</w:t>
      </w:r>
      <w:r w:rsidR="00EB5820">
        <w:rPr>
          <w:rFonts w:asciiTheme="minorEastAsia" w:eastAsiaTheme="minorEastAsia" w:hAnsiTheme="minorEastAsia" w:hint="eastAsia"/>
          <w:sz w:val="32"/>
          <w:szCs w:val="32"/>
        </w:rPr>
        <w:t>17</w:t>
      </w:r>
      <w:r w:rsidR="00391AC8">
        <w:rPr>
          <w:rFonts w:asciiTheme="minorEastAsia" w:eastAsiaTheme="minorEastAsia" w:hAnsiTheme="minorEastAsia" w:hint="eastAsia"/>
          <w:sz w:val="32"/>
          <w:szCs w:val="32"/>
        </w:rPr>
        <w:t>,</w:t>
      </w:r>
      <w:r w:rsidR="00EB5820">
        <w:rPr>
          <w:rFonts w:asciiTheme="minorEastAsia" w:eastAsiaTheme="minorEastAsia" w:hAnsiTheme="minorEastAsia" w:hint="eastAsia"/>
          <w:sz w:val="32"/>
          <w:szCs w:val="32"/>
        </w:rPr>
        <w:t>268.95</w:t>
      </w:r>
      <w:r>
        <w:rPr>
          <w:rFonts w:asciiTheme="minorEastAsia" w:eastAsiaTheme="minorEastAsia" w:hAnsiTheme="minorEastAsia" w:hint="eastAsia"/>
          <w:sz w:val="32"/>
          <w:szCs w:val="32"/>
        </w:rPr>
        <w:t>万元，完成年初预算的</w:t>
      </w:r>
      <w:r w:rsidR="00EB5820">
        <w:rPr>
          <w:rFonts w:asciiTheme="minorEastAsia" w:eastAsiaTheme="minorEastAsia" w:hAnsiTheme="minorEastAsia" w:hint="eastAsia"/>
          <w:sz w:val="32"/>
          <w:szCs w:val="32"/>
        </w:rPr>
        <w:t>120.12</w:t>
      </w:r>
      <w:r>
        <w:rPr>
          <w:rFonts w:asciiTheme="minorEastAsia" w:eastAsiaTheme="minorEastAsia" w:hAnsiTheme="minorEastAsia" w:hint="eastAsia"/>
          <w:sz w:val="32"/>
          <w:szCs w:val="32"/>
        </w:rPr>
        <w:t>%，决算数大于年初预算数的主要原因是：</w:t>
      </w:r>
      <w:r w:rsidR="00906460" w:rsidRPr="00C17B8A">
        <w:rPr>
          <w:rFonts w:asciiTheme="minorEastAsia" w:eastAsiaTheme="minorEastAsia" w:hAnsiTheme="minorEastAsia" w:hint="eastAsia"/>
          <w:sz w:val="32"/>
          <w:szCs w:val="32"/>
        </w:rPr>
        <w:t>年中追加的</w:t>
      </w:r>
      <w:r w:rsidR="00C17B8A" w:rsidRPr="00C17B8A">
        <w:rPr>
          <w:rFonts w:asciiTheme="minorEastAsia" w:eastAsiaTheme="minorEastAsia" w:hAnsiTheme="minorEastAsia" w:hint="eastAsia"/>
          <w:sz w:val="32"/>
          <w:szCs w:val="32"/>
        </w:rPr>
        <w:t>生均拨款补差</w:t>
      </w:r>
      <w:r w:rsidR="00C17B8A">
        <w:rPr>
          <w:rFonts w:asciiTheme="minorEastAsia" w:eastAsiaTheme="minorEastAsia" w:hAnsiTheme="minorEastAsia" w:hint="eastAsia"/>
          <w:sz w:val="32"/>
          <w:szCs w:val="32"/>
        </w:rPr>
        <w:t>，以及</w:t>
      </w:r>
      <w:r w:rsidR="00906460" w:rsidRPr="00C17B8A">
        <w:rPr>
          <w:rFonts w:asciiTheme="minorEastAsia" w:eastAsiaTheme="minorEastAsia" w:hAnsiTheme="minorEastAsia" w:hint="eastAsia"/>
          <w:sz w:val="32"/>
          <w:szCs w:val="32"/>
        </w:rPr>
        <w:t>央财资金</w:t>
      </w:r>
      <w:r w:rsidR="00C17B8A">
        <w:rPr>
          <w:rFonts w:asciiTheme="minorEastAsia" w:eastAsiaTheme="minorEastAsia" w:hAnsiTheme="minorEastAsia" w:hint="eastAsia"/>
          <w:sz w:val="32"/>
          <w:szCs w:val="32"/>
        </w:rPr>
        <w:t>、基建补短板</w:t>
      </w:r>
      <w:r w:rsidR="00C17B8A" w:rsidRPr="00C17B8A">
        <w:rPr>
          <w:rFonts w:asciiTheme="minorEastAsia" w:eastAsiaTheme="minorEastAsia" w:hAnsiTheme="minorEastAsia" w:hint="eastAsia"/>
          <w:sz w:val="32"/>
          <w:szCs w:val="32"/>
        </w:rPr>
        <w:t>等</w:t>
      </w:r>
      <w:r w:rsidR="00C17B8A">
        <w:rPr>
          <w:rFonts w:asciiTheme="minorEastAsia" w:eastAsiaTheme="minorEastAsia" w:hAnsiTheme="minorEastAsia" w:hint="eastAsia"/>
          <w:sz w:val="32"/>
          <w:szCs w:val="32"/>
        </w:rPr>
        <w:t>专项</w:t>
      </w:r>
      <w:r w:rsidR="00C17B8A" w:rsidRPr="00C17B8A">
        <w:rPr>
          <w:rFonts w:asciiTheme="minorEastAsia" w:eastAsiaTheme="minorEastAsia" w:hAnsiTheme="minorEastAsia" w:hint="eastAsia"/>
          <w:sz w:val="32"/>
          <w:szCs w:val="32"/>
        </w:rPr>
        <w:t>拨款</w:t>
      </w:r>
      <w:r w:rsidR="00C17B8A">
        <w:rPr>
          <w:rFonts w:asciiTheme="minorEastAsia" w:eastAsiaTheme="minorEastAsia" w:hAnsiTheme="minorEastAsia" w:hint="eastAsia"/>
          <w:sz w:val="32"/>
          <w:szCs w:val="32"/>
        </w:rPr>
        <w:t>，已用于学校的日常事务支出、校区建设等</w:t>
      </w:r>
      <w:r w:rsidR="00C17B8A" w:rsidRPr="00C17B8A">
        <w:rPr>
          <w:rFonts w:asciiTheme="minorEastAsia" w:eastAsiaTheme="minorEastAsia" w:hAnsiTheme="minorEastAsia" w:hint="eastAsia"/>
          <w:sz w:val="32"/>
          <w:szCs w:val="32"/>
        </w:rPr>
        <w:t>。</w:t>
      </w:r>
    </w:p>
    <w:p w:rsidR="003C0489" w:rsidRDefault="00EB582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3、科学技术支出</w:t>
      </w:r>
    </w:p>
    <w:p w:rsidR="00EB5820" w:rsidRDefault="00EB5820" w:rsidP="00EB582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年初预算为0万元，支出决算为85.35万元，决算数大于年初预算数的主要原因是：年中下达</w:t>
      </w:r>
      <w:r w:rsidR="00906460">
        <w:rPr>
          <w:rFonts w:asciiTheme="minorEastAsia" w:eastAsiaTheme="minorEastAsia" w:hAnsiTheme="minorEastAsia"/>
          <w:sz w:val="32"/>
          <w:szCs w:val="32"/>
        </w:rPr>
        <w:t>的各项</w:t>
      </w:r>
      <w:r>
        <w:rPr>
          <w:rFonts w:asciiTheme="minorEastAsia" w:eastAsiaTheme="minorEastAsia" w:hAnsiTheme="minorEastAsia"/>
          <w:sz w:val="32"/>
          <w:szCs w:val="32"/>
        </w:rPr>
        <w:t>科研经费</w:t>
      </w:r>
      <w:r w:rsidR="00C17B8A">
        <w:rPr>
          <w:rFonts w:asciiTheme="minorEastAsia" w:eastAsiaTheme="minorEastAsia" w:hAnsiTheme="minorEastAsia" w:hint="eastAsia"/>
          <w:sz w:val="32"/>
          <w:szCs w:val="32"/>
        </w:rPr>
        <w:t>，用于科研事业支出</w:t>
      </w:r>
      <w:r>
        <w:rPr>
          <w:rFonts w:asciiTheme="minorEastAsia" w:eastAsiaTheme="minorEastAsia" w:hAnsiTheme="minorEastAsia" w:hint="eastAsia"/>
          <w:sz w:val="32"/>
          <w:szCs w:val="32"/>
        </w:rPr>
        <w:t>。</w:t>
      </w:r>
    </w:p>
    <w:p w:rsidR="00EB5820" w:rsidRDefault="00EB582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4、社会保障和就业支出</w:t>
      </w:r>
    </w:p>
    <w:p w:rsidR="00EB5820" w:rsidRPr="00EB5820" w:rsidRDefault="00EB5820" w:rsidP="00C17B8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年初预算为0万元，支出决算为14.00万元，决算数大于年初预算数的主要原因是：</w:t>
      </w:r>
      <w:r w:rsidRPr="00C17B8A">
        <w:rPr>
          <w:rFonts w:asciiTheme="minorEastAsia" w:eastAsiaTheme="minorEastAsia" w:hAnsiTheme="minorEastAsia" w:hint="eastAsia"/>
          <w:sz w:val="32"/>
          <w:szCs w:val="32"/>
        </w:rPr>
        <w:t>年中追加的</w:t>
      </w:r>
      <w:r w:rsidR="0081315B">
        <w:rPr>
          <w:rFonts w:asciiTheme="minorEastAsia" w:eastAsiaTheme="minorEastAsia" w:hAnsiTheme="minorEastAsia" w:hint="eastAsia"/>
          <w:sz w:val="32"/>
          <w:szCs w:val="32"/>
        </w:rPr>
        <w:t>专项拨款</w:t>
      </w:r>
      <w:r w:rsidR="00C17B8A">
        <w:rPr>
          <w:rFonts w:asciiTheme="minorEastAsia" w:eastAsiaTheme="minorEastAsia" w:hAnsiTheme="minorEastAsia" w:hint="eastAsia"/>
          <w:sz w:val="32"/>
          <w:szCs w:val="32"/>
        </w:rPr>
        <w:t>，用于学生的就业支出</w:t>
      </w:r>
      <w:r w:rsidRPr="00C17B8A">
        <w:rPr>
          <w:rFonts w:asciiTheme="minorEastAsia" w:eastAsiaTheme="minorEastAsia" w:hAnsiTheme="minorEastAsia" w:hint="eastAsia"/>
          <w:sz w:val="32"/>
          <w:szCs w:val="32"/>
        </w:rPr>
        <w:t>。</w:t>
      </w:r>
    </w:p>
    <w:p w:rsidR="003C0489" w:rsidRPr="00B3762E" w:rsidRDefault="0067602F" w:rsidP="00B3762E">
      <w:pPr>
        <w:pStyle w:val="Default"/>
        <w:ind w:firstLineChars="196" w:firstLine="627"/>
        <w:rPr>
          <w:rFonts w:hAnsi="黑体"/>
          <w:sz w:val="32"/>
          <w:szCs w:val="32"/>
        </w:rPr>
      </w:pPr>
      <w:r w:rsidRPr="00B3762E">
        <w:rPr>
          <w:rFonts w:hAnsi="黑体" w:hint="eastAsia"/>
          <w:sz w:val="32"/>
          <w:szCs w:val="32"/>
        </w:rPr>
        <w:t>六、一般公共预算财政拨款基本支出决算情况说明</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2020年度财政拨款基本支出</w:t>
      </w:r>
      <w:r w:rsidR="00720D29" w:rsidRPr="00720D29">
        <w:rPr>
          <w:rFonts w:asciiTheme="minorEastAsia" w:eastAsiaTheme="minorEastAsia" w:hAnsiTheme="minorEastAsia"/>
          <w:sz w:val="32"/>
          <w:szCs w:val="32"/>
        </w:rPr>
        <w:t>11</w:t>
      </w:r>
      <w:r w:rsidR="00391AC8">
        <w:rPr>
          <w:rFonts w:asciiTheme="minorEastAsia" w:eastAsiaTheme="minorEastAsia" w:hAnsiTheme="minorEastAsia" w:hint="eastAsia"/>
          <w:sz w:val="32"/>
          <w:szCs w:val="32"/>
        </w:rPr>
        <w:t>,</w:t>
      </w:r>
      <w:r w:rsidR="00720D29" w:rsidRPr="00720D29">
        <w:rPr>
          <w:rFonts w:asciiTheme="minorEastAsia" w:eastAsiaTheme="minorEastAsia" w:hAnsiTheme="minorEastAsia"/>
          <w:sz w:val="32"/>
          <w:szCs w:val="32"/>
        </w:rPr>
        <w:t>642.21</w:t>
      </w:r>
      <w:r>
        <w:rPr>
          <w:rFonts w:asciiTheme="minorEastAsia" w:eastAsiaTheme="minorEastAsia" w:hAnsiTheme="minorEastAsia" w:hint="eastAsia"/>
          <w:sz w:val="32"/>
          <w:szCs w:val="32"/>
        </w:rPr>
        <w:t>万元，其中：人员经费</w:t>
      </w:r>
      <w:r w:rsidR="00720D29" w:rsidRPr="00720D29">
        <w:rPr>
          <w:rFonts w:asciiTheme="minorEastAsia" w:eastAsiaTheme="minorEastAsia" w:hAnsiTheme="minorEastAsia"/>
          <w:sz w:val="32"/>
          <w:szCs w:val="32"/>
        </w:rPr>
        <w:t>11</w:t>
      </w:r>
      <w:r w:rsidR="00391AC8">
        <w:rPr>
          <w:rFonts w:asciiTheme="minorEastAsia" w:eastAsiaTheme="minorEastAsia" w:hAnsiTheme="minorEastAsia" w:hint="eastAsia"/>
          <w:sz w:val="32"/>
          <w:szCs w:val="32"/>
        </w:rPr>
        <w:t>,</w:t>
      </w:r>
      <w:r w:rsidR="00720D29" w:rsidRPr="00720D29">
        <w:rPr>
          <w:rFonts w:asciiTheme="minorEastAsia" w:eastAsiaTheme="minorEastAsia" w:hAnsiTheme="minorEastAsia"/>
          <w:sz w:val="32"/>
          <w:szCs w:val="32"/>
        </w:rPr>
        <w:t>587</w:t>
      </w:r>
      <w:r w:rsidR="00720D29" w:rsidRPr="00720D29">
        <w:rPr>
          <w:rFonts w:asciiTheme="minorEastAsia" w:eastAsiaTheme="minorEastAsia" w:hAnsiTheme="minorEastAsia" w:hint="eastAsia"/>
          <w:sz w:val="32"/>
          <w:szCs w:val="32"/>
        </w:rPr>
        <w:t>.</w:t>
      </w:r>
      <w:r w:rsidR="00720D29" w:rsidRPr="00720D29">
        <w:rPr>
          <w:rFonts w:asciiTheme="minorEastAsia" w:eastAsiaTheme="minorEastAsia" w:hAnsiTheme="minorEastAsia"/>
          <w:sz w:val="32"/>
          <w:szCs w:val="32"/>
        </w:rPr>
        <w:t>2</w:t>
      </w:r>
      <w:r w:rsidR="00720D29" w:rsidRPr="00720D29">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万元，占基本支出的</w:t>
      </w:r>
      <w:r w:rsidR="00720D29">
        <w:rPr>
          <w:rFonts w:asciiTheme="minorEastAsia" w:eastAsiaTheme="minorEastAsia" w:hAnsiTheme="minorEastAsia" w:hint="eastAsia"/>
          <w:sz w:val="32"/>
          <w:szCs w:val="32"/>
        </w:rPr>
        <w:t>99.53</w:t>
      </w:r>
      <w:r>
        <w:rPr>
          <w:rFonts w:asciiTheme="minorEastAsia" w:eastAsiaTheme="minorEastAsia" w:hAnsiTheme="minorEastAsia" w:hint="eastAsia"/>
          <w:sz w:val="32"/>
          <w:szCs w:val="32"/>
        </w:rPr>
        <w:t>%,主要包括基本工资、津贴补贴、奖金、伙食补助费</w:t>
      </w:r>
      <w:r w:rsidR="00720D29">
        <w:rPr>
          <w:rFonts w:asciiTheme="minorEastAsia" w:eastAsiaTheme="minorEastAsia" w:hAnsiTheme="minorEastAsia" w:hint="eastAsia"/>
          <w:sz w:val="32"/>
          <w:szCs w:val="32"/>
        </w:rPr>
        <w:t>等</w:t>
      </w:r>
      <w:r w:rsidR="00720D29">
        <w:rPr>
          <w:rFonts w:asciiTheme="minorEastAsia" w:eastAsiaTheme="minorEastAsia" w:hAnsiTheme="minorEastAsia"/>
          <w:sz w:val="32"/>
          <w:szCs w:val="32"/>
        </w:rPr>
        <w:t>各类人员经费</w:t>
      </w:r>
      <w:r>
        <w:rPr>
          <w:rFonts w:asciiTheme="minorEastAsia" w:eastAsiaTheme="minorEastAsia" w:hAnsiTheme="minorEastAsia" w:hint="eastAsia"/>
          <w:sz w:val="32"/>
          <w:szCs w:val="32"/>
        </w:rPr>
        <w:t>；公用经费</w:t>
      </w:r>
      <w:r w:rsidR="00720D29" w:rsidRPr="00720D29">
        <w:rPr>
          <w:rFonts w:asciiTheme="minorEastAsia" w:eastAsiaTheme="minorEastAsia" w:hAnsiTheme="minorEastAsia" w:hint="eastAsia"/>
          <w:sz w:val="32"/>
          <w:szCs w:val="32"/>
        </w:rPr>
        <w:t>55.00</w:t>
      </w:r>
      <w:r>
        <w:rPr>
          <w:rFonts w:asciiTheme="minorEastAsia" w:eastAsiaTheme="minorEastAsia" w:hAnsiTheme="minorEastAsia" w:hint="eastAsia"/>
          <w:sz w:val="32"/>
          <w:szCs w:val="32"/>
        </w:rPr>
        <w:t>万元，占基本支出的</w:t>
      </w:r>
      <w:r w:rsidR="003F68E5">
        <w:rPr>
          <w:rFonts w:asciiTheme="minorEastAsia" w:eastAsiaTheme="minorEastAsia" w:hAnsiTheme="minorEastAsia" w:hint="eastAsia"/>
          <w:sz w:val="32"/>
          <w:szCs w:val="32"/>
        </w:rPr>
        <w:t>0.47</w:t>
      </w:r>
      <w:r>
        <w:rPr>
          <w:rFonts w:asciiTheme="minorEastAsia" w:eastAsiaTheme="minorEastAsia" w:hAnsiTheme="minorEastAsia" w:hint="eastAsia"/>
          <w:sz w:val="32"/>
          <w:szCs w:val="32"/>
        </w:rPr>
        <w:t>%，主要包括</w:t>
      </w:r>
      <w:r w:rsidR="003F68E5">
        <w:rPr>
          <w:rFonts w:asciiTheme="minorEastAsia" w:eastAsiaTheme="minorEastAsia" w:hAnsiTheme="minorEastAsia" w:hint="eastAsia"/>
          <w:sz w:val="32"/>
          <w:szCs w:val="32"/>
        </w:rPr>
        <w:t>办公费、专用材料等</w:t>
      </w:r>
      <w:r>
        <w:rPr>
          <w:rFonts w:asciiTheme="minorEastAsia" w:eastAsiaTheme="minorEastAsia" w:hAnsiTheme="minorEastAsia" w:hint="eastAsia"/>
          <w:sz w:val="32"/>
          <w:szCs w:val="32"/>
        </w:rPr>
        <w:t>。</w:t>
      </w:r>
    </w:p>
    <w:p w:rsidR="003C0489" w:rsidRPr="00B3762E" w:rsidRDefault="0067602F" w:rsidP="00B3762E">
      <w:pPr>
        <w:pStyle w:val="Default"/>
        <w:ind w:firstLineChars="196" w:firstLine="627"/>
        <w:rPr>
          <w:rFonts w:hAnsi="黑体"/>
          <w:sz w:val="32"/>
          <w:szCs w:val="32"/>
        </w:rPr>
      </w:pPr>
      <w:r w:rsidRPr="00B3762E">
        <w:rPr>
          <w:rFonts w:hAnsi="黑体" w:hint="eastAsia"/>
          <w:sz w:val="32"/>
          <w:szCs w:val="32"/>
        </w:rPr>
        <w:t>七、一般公共预算财政拨款三公经费支出决算情况说明</w:t>
      </w:r>
    </w:p>
    <w:p w:rsidR="003C0489" w:rsidRPr="00B3762E" w:rsidRDefault="0067602F" w:rsidP="00B3762E">
      <w:pPr>
        <w:pStyle w:val="Default"/>
        <w:ind w:firstLineChars="147" w:firstLine="470"/>
        <w:rPr>
          <w:rFonts w:asciiTheme="minorEastAsia" w:eastAsiaTheme="minorEastAsia" w:hAnsiTheme="minorEastAsia"/>
          <w:sz w:val="32"/>
          <w:szCs w:val="32"/>
        </w:rPr>
      </w:pPr>
      <w:r w:rsidRPr="00B3762E">
        <w:rPr>
          <w:rFonts w:asciiTheme="minorEastAsia" w:eastAsiaTheme="minorEastAsia" w:hAnsiTheme="minorEastAsia" w:hint="eastAsia"/>
          <w:sz w:val="32"/>
          <w:szCs w:val="32"/>
        </w:rPr>
        <w:lastRenderedPageBreak/>
        <w:t>（一）“三公”经费财政拨款支出决算总体情况说明</w:t>
      </w:r>
    </w:p>
    <w:p w:rsidR="003C0489" w:rsidRDefault="00751F9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学校一般公共预算财政拨款未安排“三公”经费支出，无</w:t>
      </w:r>
      <w:r w:rsidR="00941668">
        <w:rPr>
          <w:rFonts w:asciiTheme="minorEastAsia" w:eastAsiaTheme="minorEastAsia" w:hAnsiTheme="minorEastAsia" w:hint="eastAsia"/>
          <w:sz w:val="32"/>
          <w:szCs w:val="32"/>
        </w:rPr>
        <w:t>增减</w:t>
      </w:r>
      <w:r>
        <w:rPr>
          <w:rFonts w:asciiTheme="minorEastAsia" w:eastAsiaTheme="minorEastAsia" w:hAnsiTheme="minorEastAsia" w:hint="eastAsia"/>
          <w:sz w:val="32"/>
          <w:szCs w:val="32"/>
        </w:rPr>
        <w:t>变化。</w:t>
      </w:r>
    </w:p>
    <w:p w:rsidR="003C0489" w:rsidRPr="00B3762E" w:rsidRDefault="0067602F" w:rsidP="00B3762E">
      <w:pPr>
        <w:pStyle w:val="Default"/>
        <w:ind w:firstLineChars="147" w:firstLine="470"/>
        <w:rPr>
          <w:rFonts w:asciiTheme="minorEastAsia" w:eastAsiaTheme="minorEastAsia" w:hAnsiTheme="minorEastAsia"/>
          <w:sz w:val="32"/>
          <w:szCs w:val="32"/>
        </w:rPr>
      </w:pPr>
      <w:r w:rsidRPr="00B3762E">
        <w:rPr>
          <w:rFonts w:asciiTheme="minorEastAsia" w:eastAsiaTheme="minorEastAsia" w:hAnsiTheme="minorEastAsia" w:hint="eastAsia"/>
          <w:sz w:val="32"/>
          <w:szCs w:val="32"/>
        </w:rPr>
        <w:t>（二）“三公”经费财政拨款支出决算具体情况说明</w:t>
      </w:r>
    </w:p>
    <w:p w:rsidR="003C0489" w:rsidRDefault="00751F98" w:rsidP="00941668">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学校一般</w:t>
      </w:r>
      <w:r w:rsidR="00D0459A">
        <w:rPr>
          <w:rFonts w:asciiTheme="minorEastAsia" w:hAnsiTheme="minorEastAsia" w:cs="黑体" w:hint="eastAsia"/>
          <w:color w:val="000000"/>
          <w:kern w:val="0"/>
          <w:sz w:val="32"/>
          <w:szCs w:val="32"/>
        </w:rPr>
        <w:t>公共预算财政拨款未安排“三公”经费支出，无</w:t>
      </w:r>
      <w:r w:rsidR="00941668">
        <w:rPr>
          <w:rFonts w:asciiTheme="minorEastAsia" w:hAnsiTheme="minorEastAsia" w:cs="黑体" w:hint="eastAsia"/>
          <w:color w:val="000000"/>
          <w:kern w:val="0"/>
          <w:sz w:val="32"/>
          <w:szCs w:val="32"/>
        </w:rPr>
        <w:t>增减</w:t>
      </w:r>
      <w:r>
        <w:rPr>
          <w:rFonts w:asciiTheme="minorEastAsia" w:hAnsiTheme="minorEastAsia" w:cs="黑体" w:hint="eastAsia"/>
          <w:color w:val="000000"/>
          <w:kern w:val="0"/>
          <w:sz w:val="32"/>
          <w:szCs w:val="32"/>
        </w:rPr>
        <w:t>变化。</w:t>
      </w:r>
      <w:r w:rsidR="00D0459A">
        <w:rPr>
          <w:rFonts w:asciiTheme="minorEastAsia" w:hAnsiTheme="minorEastAsia" w:hint="eastAsia"/>
          <w:sz w:val="32"/>
          <w:szCs w:val="32"/>
        </w:rPr>
        <w:t>“三公”经费支出为0，其中：因公出国（境）费用为0，因公出国（境）团组数（个）为0，因公出国（境）人次数（人）为0；公务用车购置数为0，公务用车保有量5辆，均为其他用车；国内公务接待批次（个）为0，国内公务接待人次（人）为0.</w:t>
      </w:r>
    </w:p>
    <w:p w:rsidR="003C0489" w:rsidRPr="00B3762E" w:rsidRDefault="0067602F" w:rsidP="00B3762E">
      <w:pPr>
        <w:pStyle w:val="Default"/>
        <w:ind w:firstLineChars="196" w:firstLine="627"/>
        <w:rPr>
          <w:rFonts w:hAnsi="黑体"/>
          <w:sz w:val="32"/>
          <w:szCs w:val="32"/>
        </w:rPr>
      </w:pPr>
      <w:r w:rsidRPr="00B3762E">
        <w:rPr>
          <w:rFonts w:hAnsi="黑体" w:hint="eastAsia"/>
          <w:sz w:val="32"/>
          <w:szCs w:val="32"/>
        </w:rPr>
        <w:t>八、政府性基金预算收入支出决算情况</w:t>
      </w:r>
    </w:p>
    <w:p w:rsidR="003C0489" w:rsidRPr="000F7F03" w:rsidRDefault="0067602F">
      <w:pPr>
        <w:pStyle w:val="Default"/>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 xml:space="preserve">    </w:t>
      </w:r>
      <w:r w:rsidR="00C17B8A">
        <w:rPr>
          <w:rFonts w:asciiTheme="minorEastAsia" w:eastAsiaTheme="minorEastAsia" w:hAnsiTheme="minorEastAsia" w:hint="eastAsia"/>
          <w:color w:val="auto"/>
          <w:sz w:val="32"/>
          <w:szCs w:val="32"/>
        </w:rPr>
        <w:t>学校</w:t>
      </w:r>
      <w:r w:rsidR="000F7F03">
        <w:rPr>
          <w:rFonts w:asciiTheme="minorEastAsia" w:eastAsiaTheme="minorEastAsia" w:hAnsiTheme="minorEastAsia" w:hint="eastAsia"/>
          <w:color w:val="auto"/>
          <w:sz w:val="32"/>
          <w:szCs w:val="32"/>
        </w:rPr>
        <w:t>无政府性基金收支。</w:t>
      </w:r>
    </w:p>
    <w:p w:rsidR="00751F98" w:rsidRDefault="0067602F" w:rsidP="00B3762E">
      <w:pPr>
        <w:pStyle w:val="Default"/>
        <w:ind w:firstLineChars="196" w:firstLine="627"/>
        <w:rPr>
          <w:rFonts w:hAnsi="黑体"/>
          <w:sz w:val="32"/>
          <w:szCs w:val="32"/>
        </w:rPr>
      </w:pPr>
      <w:r w:rsidRPr="00B3762E">
        <w:rPr>
          <w:rFonts w:hAnsi="黑体" w:hint="eastAsia"/>
          <w:sz w:val="32"/>
          <w:szCs w:val="32"/>
        </w:rPr>
        <w:t>九、</w:t>
      </w:r>
      <w:r w:rsidR="00751F98">
        <w:rPr>
          <w:rFonts w:hAnsi="黑体" w:hint="eastAsia"/>
          <w:sz w:val="32"/>
          <w:szCs w:val="32"/>
        </w:rPr>
        <w:t>机关运行经费执行情况说明</w:t>
      </w:r>
    </w:p>
    <w:p w:rsidR="00751F98" w:rsidRPr="00B60816" w:rsidRDefault="00B60816" w:rsidP="00B60816">
      <w:pPr>
        <w:pStyle w:val="Default"/>
        <w:ind w:firstLineChars="196" w:firstLine="627"/>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学校</w:t>
      </w:r>
      <w:r w:rsidR="00D0459A">
        <w:rPr>
          <w:rFonts w:asciiTheme="minorEastAsia" w:eastAsiaTheme="minorEastAsia" w:hAnsiTheme="minorEastAsia" w:hint="eastAsia"/>
          <w:color w:val="auto"/>
          <w:sz w:val="32"/>
          <w:szCs w:val="32"/>
        </w:rPr>
        <w:t>无机关运行经费。</w:t>
      </w:r>
    </w:p>
    <w:p w:rsidR="003C0489" w:rsidRPr="00B3762E" w:rsidRDefault="00672A1E" w:rsidP="00B3762E">
      <w:pPr>
        <w:pStyle w:val="Default"/>
        <w:ind w:firstLineChars="196" w:firstLine="627"/>
        <w:rPr>
          <w:rFonts w:hAnsi="黑体"/>
          <w:sz w:val="32"/>
          <w:szCs w:val="32"/>
        </w:rPr>
      </w:pPr>
      <w:r>
        <w:rPr>
          <w:rFonts w:hAnsi="黑体" w:hint="eastAsia"/>
          <w:sz w:val="32"/>
          <w:szCs w:val="32"/>
        </w:rPr>
        <w:t>十、</w:t>
      </w:r>
      <w:r w:rsidR="0067602F" w:rsidRPr="00B3762E">
        <w:rPr>
          <w:rFonts w:hAnsi="黑体" w:hint="eastAsia"/>
          <w:sz w:val="32"/>
          <w:szCs w:val="32"/>
        </w:rPr>
        <w:t>一般性支出情况</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w:t>
      </w:r>
      <w:r w:rsidR="00124AFE">
        <w:rPr>
          <w:rFonts w:asciiTheme="minorEastAsia" w:eastAsiaTheme="minorEastAsia" w:hAnsiTheme="minorEastAsia" w:hint="eastAsia"/>
          <w:sz w:val="32"/>
          <w:szCs w:val="32"/>
        </w:rPr>
        <w:t>一般公共预算财政拨款支出无会议费和培训费。</w:t>
      </w:r>
    </w:p>
    <w:p w:rsidR="003C0489" w:rsidRPr="00B3762E" w:rsidRDefault="0067602F" w:rsidP="00B3762E">
      <w:pPr>
        <w:pStyle w:val="Default"/>
        <w:ind w:firstLineChars="196" w:firstLine="627"/>
        <w:rPr>
          <w:rFonts w:hAnsi="黑体"/>
          <w:sz w:val="32"/>
          <w:szCs w:val="32"/>
        </w:rPr>
      </w:pPr>
      <w:r w:rsidRPr="00B3762E">
        <w:rPr>
          <w:rFonts w:hAnsi="黑体" w:hint="eastAsia"/>
          <w:sz w:val="32"/>
          <w:szCs w:val="32"/>
        </w:rPr>
        <w:t>十</w:t>
      </w:r>
      <w:r w:rsidR="00672A1E">
        <w:rPr>
          <w:rFonts w:hAnsi="黑体" w:hint="eastAsia"/>
          <w:sz w:val="32"/>
          <w:szCs w:val="32"/>
        </w:rPr>
        <w:t>一</w:t>
      </w:r>
      <w:r w:rsidRPr="00B3762E">
        <w:rPr>
          <w:rFonts w:hAnsi="黑体" w:hint="eastAsia"/>
          <w:sz w:val="32"/>
          <w:szCs w:val="32"/>
        </w:rPr>
        <w:t>、关于政府采购支出说明</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本部门2020年度政府采购支出总额</w:t>
      </w:r>
      <w:r w:rsidR="003F68E5">
        <w:rPr>
          <w:rFonts w:asciiTheme="minorEastAsia" w:eastAsiaTheme="minorEastAsia" w:hAnsiTheme="minorEastAsia" w:hint="eastAsia"/>
          <w:sz w:val="32"/>
          <w:szCs w:val="32"/>
        </w:rPr>
        <w:t>1</w:t>
      </w:r>
      <w:r w:rsidR="00391AC8">
        <w:rPr>
          <w:rFonts w:asciiTheme="minorEastAsia" w:eastAsiaTheme="minorEastAsia" w:hAnsiTheme="minorEastAsia" w:hint="eastAsia"/>
          <w:sz w:val="32"/>
          <w:szCs w:val="32"/>
        </w:rPr>
        <w:t>,</w:t>
      </w:r>
      <w:r w:rsidR="003F68E5">
        <w:rPr>
          <w:rFonts w:asciiTheme="minorEastAsia" w:eastAsiaTheme="minorEastAsia" w:hAnsiTheme="minorEastAsia" w:hint="eastAsia"/>
          <w:sz w:val="32"/>
          <w:szCs w:val="32"/>
        </w:rPr>
        <w:t>719.96</w:t>
      </w:r>
      <w:r>
        <w:rPr>
          <w:rFonts w:asciiTheme="minorEastAsia" w:eastAsiaTheme="minorEastAsia" w:hAnsiTheme="minorEastAsia" w:hint="eastAsia"/>
          <w:sz w:val="32"/>
          <w:szCs w:val="32"/>
        </w:rPr>
        <w:t>万元，其中：政府采购货物支出</w:t>
      </w:r>
      <w:r w:rsidR="003F68E5">
        <w:rPr>
          <w:rFonts w:asciiTheme="minorEastAsia" w:eastAsiaTheme="minorEastAsia" w:hAnsiTheme="minorEastAsia" w:hint="eastAsia"/>
          <w:sz w:val="32"/>
          <w:szCs w:val="32"/>
        </w:rPr>
        <w:t>803.52</w:t>
      </w:r>
      <w:r>
        <w:rPr>
          <w:rFonts w:asciiTheme="minorEastAsia" w:eastAsiaTheme="minorEastAsia" w:hAnsiTheme="minorEastAsia" w:hint="eastAsia"/>
          <w:sz w:val="32"/>
          <w:szCs w:val="32"/>
        </w:rPr>
        <w:t>万元、政府采购工程支出</w:t>
      </w:r>
      <w:r w:rsidR="003F68E5">
        <w:rPr>
          <w:rFonts w:asciiTheme="minorEastAsia" w:eastAsiaTheme="minorEastAsia" w:hAnsiTheme="minorEastAsia" w:hint="eastAsia"/>
          <w:sz w:val="32"/>
          <w:szCs w:val="32"/>
        </w:rPr>
        <w:t>474.15</w:t>
      </w:r>
      <w:r>
        <w:rPr>
          <w:rFonts w:asciiTheme="minorEastAsia" w:eastAsiaTheme="minorEastAsia" w:hAnsiTheme="minorEastAsia" w:hint="eastAsia"/>
          <w:sz w:val="32"/>
          <w:szCs w:val="32"/>
        </w:rPr>
        <w:t>万元、政府采购服务支出</w:t>
      </w:r>
      <w:r w:rsidR="003F68E5">
        <w:rPr>
          <w:rFonts w:asciiTheme="minorEastAsia" w:eastAsiaTheme="minorEastAsia" w:hAnsiTheme="minorEastAsia" w:hint="eastAsia"/>
          <w:sz w:val="32"/>
          <w:szCs w:val="32"/>
        </w:rPr>
        <w:t>442.28</w:t>
      </w:r>
      <w:r>
        <w:rPr>
          <w:rFonts w:asciiTheme="minorEastAsia" w:eastAsiaTheme="minorEastAsia" w:hAnsiTheme="minorEastAsia" w:hint="eastAsia"/>
          <w:sz w:val="32"/>
          <w:szCs w:val="32"/>
        </w:rPr>
        <w:t>万元。</w:t>
      </w:r>
      <w:r w:rsidR="00641002">
        <w:rPr>
          <w:rFonts w:asciiTheme="minorEastAsia" w:eastAsiaTheme="minorEastAsia" w:hAnsiTheme="minorEastAsia" w:hint="eastAsia"/>
          <w:sz w:val="32"/>
          <w:szCs w:val="32"/>
        </w:rPr>
        <w:t>政府采购授予中小企业合同金额76.98万元。</w:t>
      </w:r>
    </w:p>
    <w:p w:rsidR="003C0489" w:rsidRPr="00B3762E" w:rsidRDefault="0067602F" w:rsidP="00672A1E">
      <w:pPr>
        <w:pStyle w:val="Default"/>
        <w:ind w:firstLineChars="196" w:firstLine="627"/>
        <w:rPr>
          <w:rFonts w:hAnsi="黑体"/>
          <w:sz w:val="32"/>
          <w:szCs w:val="32"/>
        </w:rPr>
      </w:pPr>
      <w:r w:rsidRPr="00B3762E">
        <w:rPr>
          <w:rFonts w:hAnsi="黑体" w:hint="eastAsia"/>
          <w:sz w:val="32"/>
          <w:szCs w:val="32"/>
        </w:rPr>
        <w:t>十</w:t>
      </w:r>
      <w:r w:rsidR="00672A1E">
        <w:rPr>
          <w:rFonts w:hAnsi="黑体" w:hint="eastAsia"/>
          <w:sz w:val="32"/>
          <w:szCs w:val="32"/>
        </w:rPr>
        <w:t>二</w:t>
      </w:r>
      <w:r w:rsidRPr="00B3762E">
        <w:rPr>
          <w:rFonts w:hAnsi="黑体" w:hint="eastAsia"/>
          <w:sz w:val="32"/>
          <w:szCs w:val="32"/>
        </w:rPr>
        <w:t>、关于国有资产占用情况说明</w:t>
      </w:r>
    </w:p>
    <w:p w:rsidR="003C0489" w:rsidRDefault="0067602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截至2020年12月31日，本单位共有车辆</w:t>
      </w:r>
      <w:r w:rsidR="003F68E5">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辆，</w:t>
      </w:r>
      <w:r w:rsidR="006D0AB3">
        <w:rPr>
          <w:rFonts w:asciiTheme="minorEastAsia" w:eastAsiaTheme="minorEastAsia" w:hAnsiTheme="minorEastAsia" w:hint="eastAsia"/>
          <w:sz w:val="32"/>
          <w:szCs w:val="32"/>
        </w:rPr>
        <w:t>均属于</w:t>
      </w:r>
      <w:r>
        <w:rPr>
          <w:rFonts w:asciiTheme="minorEastAsia" w:eastAsiaTheme="minorEastAsia" w:hAnsiTheme="minorEastAsia" w:hint="eastAsia"/>
          <w:sz w:val="32"/>
          <w:szCs w:val="32"/>
        </w:rPr>
        <w:t>其他用车，其他用车主要是</w:t>
      </w:r>
      <w:r w:rsidR="00124AFE">
        <w:rPr>
          <w:rFonts w:asciiTheme="minorEastAsia" w:eastAsiaTheme="minorEastAsia" w:hAnsiTheme="minorEastAsia" w:hint="eastAsia"/>
          <w:sz w:val="32"/>
          <w:szCs w:val="32"/>
        </w:rPr>
        <w:t>用</w:t>
      </w:r>
      <w:r w:rsidR="00124AFE" w:rsidRPr="00124AFE">
        <w:rPr>
          <w:rFonts w:asciiTheme="minorEastAsia" w:eastAsiaTheme="minorEastAsia" w:hAnsiTheme="minorEastAsia"/>
          <w:sz w:val="32"/>
          <w:szCs w:val="32"/>
        </w:rPr>
        <w:t>于机要通信和应急保障之外公务用途的车辆</w:t>
      </w:r>
      <w:r>
        <w:rPr>
          <w:rFonts w:asciiTheme="minorEastAsia" w:eastAsiaTheme="minorEastAsia" w:hAnsiTheme="minorEastAsia" w:hint="eastAsia"/>
          <w:sz w:val="32"/>
          <w:szCs w:val="32"/>
        </w:rPr>
        <w:t>；单位价值50万元以上通用设备</w:t>
      </w:r>
      <w:r w:rsidR="003F68E5">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台（套）。</w:t>
      </w:r>
    </w:p>
    <w:p w:rsidR="003C0489" w:rsidRPr="00B3762E" w:rsidRDefault="0067602F" w:rsidP="00B3762E">
      <w:pPr>
        <w:pStyle w:val="Default"/>
        <w:ind w:firstLineChars="196" w:firstLine="627"/>
        <w:rPr>
          <w:rFonts w:hAnsi="黑体"/>
          <w:sz w:val="32"/>
          <w:szCs w:val="32"/>
        </w:rPr>
      </w:pPr>
      <w:r w:rsidRPr="00B3762E">
        <w:rPr>
          <w:rFonts w:hAnsi="黑体" w:hint="eastAsia"/>
          <w:sz w:val="32"/>
          <w:szCs w:val="32"/>
        </w:rPr>
        <w:t>十</w:t>
      </w:r>
      <w:r w:rsidR="00672A1E">
        <w:rPr>
          <w:rFonts w:hAnsi="黑体" w:hint="eastAsia"/>
          <w:sz w:val="32"/>
          <w:szCs w:val="32"/>
        </w:rPr>
        <w:t>三</w:t>
      </w:r>
      <w:r w:rsidRPr="00B3762E">
        <w:rPr>
          <w:rFonts w:hAnsi="黑体" w:hint="eastAsia"/>
          <w:sz w:val="32"/>
          <w:szCs w:val="32"/>
        </w:rPr>
        <w:t>、关于2020年度预算绩效情况的说明</w:t>
      </w:r>
    </w:p>
    <w:p w:rsidR="00B15D66" w:rsidRPr="008536DF" w:rsidRDefault="00B15D66" w:rsidP="008536D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见附件--《湖南财政经济学院2020年整体支出绩效自评报告》</w:t>
      </w:r>
    </w:p>
    <w:p w:rsidR="003C0489" w:rsidRPr="00124AFE" w:rsidRDefault="0067602F" w:rsidP="006D3EDD">
      <w:pPr>
        <w:pStyle w:val="Default"/>
        <w:spacing w:afterLines="100"/>
        <w:jc w:val="center"/>
        <w:rPr>
          <w:sz w:val="44"/>
          <w:szCs w:val="44"/>
        </w:rPr>
      </w:pPr>
      <w:r w:rsidRPr="00124AFE">
        <w:rPr>
          <w:rFonts w:hint="eastAsia"/>
          <w:sz w:val="44"/>
          <w:szCs w:val="44"/>
        </w:rPr>
        <w:lastRenderedPageBreak/>
        <w:t>第四部分</w:t>
      </w:r>
      <w:r w:rsidR="00124AFE" w:rsidRPr="00124AFE">
        <w:rPr>
          <w:rFonts w:hint="eastAsia"/>
          <w:sz w:val="44"/>
          <w:szCs w:val="44"/>
        </w:rPr>
        <w:t xml:space="preserve">  </w:t>
      </w:r>
      <w:r w:rsidRPr="00124AFE">
        <w:rPr>
          <w:rFonts w:hint="eastAsia"/>
          <w:sz w:val="44"/>
          <w:szCs w:val="44"/>
        </w:rPr>
        <w:t>名词解释</w:t>
      </w:r>
    </w:p>
    <w:p w:rsidR="00124AFE" w:rsidRPr="00124AFE" w:rsidRDefault="00124AFE" w:rsidP="00124AFE">
      <w:pPr>
        <w:widowControl/>
        <w:ind w:firstLineChars="200" w:firstLine="640"/>
        <w:jc w:val="left"/>
        <w:rPr>
          <w:rFonts w:asciiTheme="minorEastAsia" w:hAnsiTheme="minorEastAsia"/>
          <w:sz w:val="32"/>
          <w:szCs w:val="32"/>
        </w:rPr>
      </w:pPr>
      <w:r w:rsidRPr="00124AFE">
        <w:rPr>
          <w:rFonts w:asciiTheme="minorEastAsia" w:hAnsiTheme="minorEastAsia" w:hint="eastAsia"/>
          <w:sz w:val="32"/>
          <w:szCs w:val="32"/>
        </w:rPr>
        <w:t>财政拨款收入：指本级财政当年拨付的资金。</w:t>
      </w:r>
    </w:p>
    <w:p w:rsidR="00124AFE" w:rsidRPr="00124AFE" w:rsidRDefault="00124AFE" w:rsidP="009824C1">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事业收入：指事业单位开展专业业务活动及辅助活动所取得的收入。</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其他收入：指除上述“财政拨款收入”、“上级补助收入”、“事业收入”、“经营收入”、“附属单位上缴收入”等以外的收入。</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上年结转和结余：指以前年度尚未完成、结转到本年按有关规定继续使用的资金。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结余分配：指事业单位按规定对非财政补助结余资金提取的职工福利基金、事业基金和缴纳的所得税，以及减少单位按规定应缴回的基本建设竣工项目结余资金。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年末结转和结余资金：指本年度或以前年度预算安排、因客观条件发生变化无法按原计划实施，需要延迟到以后年度按有关规定继续使用的资金。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教育支出（类）：是指用于政府教育事务支出，包括保障机构正常运转、完成日常和特定的工作任务或事业发展目标的支出。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科学技术支出（类）：是指用于科学技术方面的支出，包括保障机构正常运转、完成日常和特定的工作任务或事业发展目标的支出。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社会保障和就业支出（类）：是指用于社会保障和就业方面的支出，包括保障机构正常运转、完成日常和特定的工作任务或事业发展目标的支出。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基本支出：指保障机构正常运转、完成支日常工作任务而发生的人员</w:t>
      </w:r>
      <w:r w:rsidRPr="00124AFE">
        <w:rPr>
          <w:rFonts w:asciiTheme="minorEastAsia" w:hAnsiTheme="minorEastAsia" w:hint="eastAsia"/>
          <w:sz w:val="32"/>
          <w:szCs w:val="32"/>
        </w:rPr>
        <w:lastRenderedPageBreak/>
        <w:t>支出和公用支出。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项目支出：指在基本支出之外为完成特定行政任务和事业发展目标所发生的支出。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工资福利支出：反映单位开支的在职职工和编制外长期聘用人员的各类劳动报酬，以及为上述人员缴纳的各项社会保险费等。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津贴补贴：反映经国家批准建立的机关事业单位艰苦边远地区津贴、机关工作人员地区附加津贴、机关工作人员岗位津贴、事业单位工作人员特殊岗位津贴补贴等。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奖金：反映机关工作人员年终一次性奖金。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伙食补助费：反映单位发给职工的伙食补助费，如误餐补助等。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绩效工资：反映事业单位工作人员的绩效工资。</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机关事业单位基本养老保险缴费：反映机关事业单位缴纳的基本养老保险费。由单位代扣的工作人员基本养老保险缴费，不在此科目反映。</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职业年金缴费：反映机关事业单位实际缴纳的职业年金支出。由单位代扣的工作人员职业年金缴费，不在此科目反映。</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lastRenderedPageBreak/>
        <w:t>职工基本医疗保险缴费：反映单位为职工缴纳的基本医疗保险费。</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其他社会保障缴费：反映单位为职工缴纳的基本医疗、失业、工伤、生育等社会保险费，残疾人就业保障金，军队（含武警）为军人缴纳的伤亡、退役医疗等社会保险费。</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住房公积金：反映行政事业单位按人力资源和社会保障部、财政部规定的基本工资和津贴补贴以及规定比例为职工缴纳的住房公积金。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商品和服务支出：反映单位购买商品和服务的支出（不包括用于购置固定资产的支出、战略性和应急储备支出）。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办公费：反映单位购买按财务会计制度规定不符合固定资产确认标准的日常办公用品、书报杂志等支出。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印刷费：反映单位的印刷费支出。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咨询费：反映单位咨询方面的支出。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手续费：反映单位支付的各类手续费支出。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水费：反映单位支付的水费、污水处理费等支出。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电费：反映单位的电费支出。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邮电费：反映单位开支的信函、包裹、货物等物品的邮寄费及电话费、电报费、传真费、网络通讯费等。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物业管理费：反映单位开支的办公用房以及未实行职工住宅物业服务改革的在职职工和离退休人员宿舍等的物业管理费，包括综合治理、绿化、卫生等方面的支出。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lastRenderedPageBreak/>
        <w:t>差旅费：反映单位工作人员出差发生的城市间交通费、住宿费、伙食补贴费和市内交通费。</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维修(护)费：反映单位日常开支的固定资产（不包括车船等交通工具）修理和维护费用，网络信息系统运行与维护费用，以及按规定提取的修购基金。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租赁费：反映租赁办公用房、宿舍、专用通讯网以及其他设备等方面的费用。</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劳务费：反映支付给单位和个人的劳务费用，如临时聘用人员、钟点工工资，稿费、翻译费，评审费等。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委托业务费：反映因委托外单位办理业务而支付的委托业务费。</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工会经费：反映单位按规定提取的工会经费。</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福利费：反映单位按规定提取的福利费。</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其他交通费用：反映单位除公务用车运行维护费以外的其他交通费用。如公务交通补贴，租车费用、出租车费用，飞机、船舶等的燃料费、维修费、保险费等。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其他商品和服务支出：反映上述科目未包括的日常公用支出。如行政赔偿费和诉讼费、国内组织的会员费、来访费、广告宣传、其他劳务费及离休人员特需费、公用经费等。</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对个人和家庭的补助：反映政府用于对个人和家庭的补助支出。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离休费：反映行政事业单位和军队移交政府安置的离休人员的离休费、</w:t>
      </w:r>
      <w:r w:rsidRPr="00124AFE">
        <w:rPr>
          <w:rFonts w:asciiTheme="minorEastAsia" w:hAnsiTheme="minorEastAsia" w:hint="eastAsia"/>
          <w:sz w:val="32"/>
          <w:szCs w:val="32"/>
        </w:rPr>
        <w:lastRenderedPageBreak/>
        <w:t>护理费和其他补贴。</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抚恤金：反映按规定开支的烈士遗属、牺牲病故人员遗属的一次性和定期抚恤金，伤残人员的抚恤金，离退休人员等其他人员的各项抚恤金。</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124AFE" w:rsidRPr="00124AFE" w:rsidRDefault="00124AFE" w:rsidP="00124AFE">
      <w:pPr>
        <w:ind w:firstLineChars="200" w:firstLine="640"/>
        <w:jc w:val="left"/>
        <w:rPr>
          <w:rFonts w:asciiTheme="minorEastAsia" w:hAnsiTheme="minorEastAsia"/>
          <w:sz w:val="32"/>
          <w:szCs w:val="32"/>
        </w:rPr>
      </w:pPr>
      <w:r w:rsidRPr="00124AFE">
        <w:rPr>
          <w:rFonts w:asciiTheme="minorEastAsia" w:hAnsiTheme="minorEastAsia" w:hint="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3C0489" w:rsidRPr="00124AFE" w:rsidRDefault="003C0489">
      <w:pPr>
        <w:pStyle w:val="Default"/>
        <w:jc w:val="center"/>
        <w:rPr>
          <w:rFonts w:asciiTheme="minorEastAsia" w:eastAsiaTheme="minorEastAsia" w:hAnsiTheme="minorEastAsia"/>
          <w:sz w:val="32"/>
          <w:szCs w:val="32"/>
        </w:rPr>
      </w:pPr>
    </w:p>
    <w:p w:rsidR="003C0489" w:rsidRDefault="003C0489">
      <w:pPr>
        <w:pStyle w:val="Default"/>
        <w:jc w:val="center"/>
        <w:rPr>
          <w:sz w:val="72"/>
          <w:szCs w:val="72"/>
        </w:rPr>
      </w:pPr>
    </w:p>
    <w:p w:rsidR="003C0489" w:rsidRDefault="003C0489">
      <w:pPr>
        <w:pStyle w:val="Default"/>
        <w:jc w:val="center"/>
        <w:rPr>
          <w:sz w:val="72"/>
          <w:szCs w:val="72"/>
        </w:rPr>
      </w:pPr>
    </w:p>
    <w:p w:rsidR="003C0489" w:rsidRDefault="003C0489">
      <w:pPr>
        <w:pStyle w:val="Default"/>
        <w:jc w:val="center"/>
        <w:rPr>
          <w:sz w:val="72"/>
          <w:szCs w:val="72"/>
        </w:rPr>
      </w:pPr>
    </w:p>
    <w:p w:rsidR="003C0489" w:rsidRDefault="003C0489">
      <w:pPr>
        <w:pStyle w:val="Default"/>
        <w:jc w:val="center"/>
        <w:rPr>
          <w:sz w:val="72"/>
          <w:szCs w:val="72"/>
        </w:rPr>
      </w:pPr>
    </w:p>
    <w:p w:rsidR="00B3762E" w:rsidRDefault="00B3762E">
      <w:pPr>
        <w:pStyle w:val="Default"/>
        <w:jc w:val="center"/>
        <w:rPr>
          <w:sz w:val="72"/>
          <w:szCs w:val="72"/>
        </w:rPr>
      </w:pPr>
    </w:p>
    <w:p w:rsidR="00B3762E" w:rsidRDefault="00B3762E" w:rsidP="00987BAB">
      <w:pPr>
        <w:ind w:firstLineChars="200" w:firstLine="643"/>
        <w:jc w:val="center"/>
        <w:rPr>
          <w:rFonts w:asciiTheme="minorEastAsia" w:hAnsiTheme="minorEastAsia" w:cs="黑体"/>
          <w:b/>
          <w:color w:val="000000"/>
          <w:kern w:val="0"/>
          <w:sz w:val="32"/>
          <w:szCs w:val="32"/>
        </w:rPr>
      </w:pPr>
    </w:p>
    <w:p w:rsidR="00884CC5" w:rsidRPr="00884CC5" w:rsidRDefault="00884CC5" w:rsidP="006D3EDD">
      <w:pPr>
        <w:spacing w:beforeLines="100" w:afterLines="100"/>
        <w:ind w:firstLineChars="200" w:firstLine="880"/>
        <w:jc w:val="center"/>
        <w:rPr>
          <w:rFonts w:ascii="黑体" w:eastAsia="黑体" w:hAnsi="黑体" w:cs="黑体"/>
          <w:color w:val="000000"/>
          <w:kern w:val="0"/>
          <w:sz w:val="44"/>
          <w:szCs w:val="44"/>
        </w:rPr>
      </w:pPr>
      <w:r w:rsidRPr="00884CC5">
        <w:rPr>
          <w:rFonts w:ascii="黑体" w:eastAsia="黑体" w:hAnsi="黑体" w:cs="黑体" w:hint="eastAsia"/>
          <w:color w:val="000000"/>
          <w:kern w:val="0"/>
          <w:sz w:val="44"/>
          <w:szCs w:val="44"/>
        </w:rPr>
        <w:lastRenderedPageBreak/>
        <w:t>第五部分  附件</w:t>
      </w:r>
    </w:p>
    <w:p w:rsidR="00993675" w:rsidRPr="002B5868" w:rsidRDefault="00993675" w:rsidP="006D3EDD">
      <w:pPr>
        <w:spacing w:afterLines="50"/>
        <w:jc w:val="center"/>
        <w:rPr>
          <w:rFonts w:ascii="仿宋" w:eastAsia="仿宋" w:hAnsi="仿宋"/>
          <w:b/>
          <w:sz w:val="44"/>
          <w:szCs w:val="44"/>
        </w:rPr>
      </w:pPr>
      <w:r w:rsidRPr="002B5868">
        <w:rPr>
          <w:rFonts w:ascii="仿宋" w:eastAsia="仿宋" w:hAnsi="仿宋" w:hint="eastAsia"/>
          <w:b/>
          <w:sz w:val="44"/>
          <w:szCs w:val="44"/>
        </w:rPr>
        <w:t>湖南财政经济学院</w:t>
      </w:r>
    </w:p>
    <w:p w:rsidR="00993675" w:rsidRPr="002B5868" w:rsidRDefault="00993675" w:rsidP="006D3EDD">
      <w:pPr>
        <w:spacing w:afterLines="50"/>
        <w:jc w:val="center"/>
        <w:rPr>
          <w:rFonts w:ascii="仿宋" w:eastAsia="仿宋" w:hAnsi="仿宋"/>
          <w:b/>
          <w:sz w:val="44"/>
          <w:szCs w:val="44"/>
        </w:rPr>
      </w:pPr>
      <w:r>
        <w:rPr>
          <w:rFonts w:ascii="仿宋" w:eastAsia="仿宋" w:hAnsi="仿宋" w:hint="eastAsia"/>
          <w:b/>
          <w:sz w:val="44"/>
          <w:szCs w:val="44"/>
        </w:rPr>
        <w:t>2020年</w:t>
      </w:r>
      <w:r w:rsidRPr="002B5868">
        <w:rPr>
          <w:rFonts w:ascii="仿宋" w:eastAsia="仿宋" w:hAnsi="仿宋" w:hint="eastAsia"/>
          <w:b/>
          <w:sz w:val="44"/>
          <w:szCs w:val="44"/>
        </w:rPr>
        <w:t>度整体支出绩效自评报告</w:t>
      </w:r>
    </w:p>
    <w:p w:rsidR="00993675"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为进一步规范和加强我校财政资金的管理，提高资金使用效益，根据省财政厅、教育厅绩效评价工作相关规定，本着客观和实事求是的原则，依据</w:t>
      </w:r>
      <w:r w:rsidRPr="001F0B1A">
        <w:rPr>
          <w:rFonts w:ascii="仿宋" w:eastAsia="仿宋" w:hAnsi="仿宋" w:hint="eastAsia"/>
          <w:sz w:val="32"/>
          <w:szCs w:val="32"/>
        </w:rPr>
        <w:t>根据《湖南省财政厅关于开展 2020 年度部门绩效自 评工作的通知》（湘财绩〔2021〕1 号）和《湖南省教育厅预算 支出绩效评价管理办法》（湘教发〔2020〕38 号）</w:t>
      </w:r>
      <w:r w:rsidRPr="002B5868">
        <w:rPr>
          <w:rFonts w:ascii="仿宋" w:eastAsia="仿宋" w:hAnsi="仿宋" w:hint="eastAsia"/>
          <w:sz w:val="32"/>
          <w:szCs w:val="32"/>
        </w:rPr>
        <w:t>文件要求，我校对</w:t>
      </w:r>
      <w:r>
        <w:rPr>
          <w:rFonts w:ascii="仿宋" w:eastAsia="仿宋" w:hAnsi="仿宋" w:cs="仿宋" w:hint="eastAsia"/>
          <w:sz w:val="30"/>
          <w:szCs w:val="30"/>
        </w:rPr>
        <w:t>2020年度整体支出绩效自评情况</w:t>
      </w:r>
      <w:r w:rsidRPr="002B5868">
        <w:rPr>
          <w:rFonts w:ascii="仿宋" w:eastAsia="仿宋" w:hAnsi="仿宋" w:hint="eastAsia"/>
          <w:sz w:val="32"/>
          <w:szCs w:val="32"/>
        </w:rPr>
        <w:t>进行了绩效自评，现将自评情况汇报如下：</w:t>
      </w:r>
    </w:p>
    <w:p w:rsidR="00993675" w:rsidRPr="003446F9" w:rsidRDefault="00993675" w:rsidP="00993675">
      <w:pPr>
        <w:ind w:firstLineChars="200" w:firstLine="643"/>
        <w:rPr>
          <w:rFonts w:ascii="仿宋" w:eastAsia="仿宋" w:hAnsi="仿宋"/>
          <w:b/>
          <w:bCs/>
          <w:sz w:val="32"/>
          <w:szCs w:val="32"/>
        </w:rPr>
      </w:pPr>
      <w:r w:rsidRPr="003446F9">
        <w:rPr>
          <w:rFonts w:ascii="仿宋" w:eastAsia="仿宋" w:hAnsi="仿宋"/>
          <w:b/>
          <w:bCs/>
          <w:sz w:val="32"/>
          <w:szCs w:val="32"/>
        </w:rPr>
        <w:t>一</w:t>
      </w:r>
      <w:r>
        <w:rPr>
          <w:rFonts w:ascii="仿宋" w:eastAsia="仿宋" w:hAnsi="仿宋" w:hint="eastAsia"/>
          <w:b/>
          <w:bCs/>
          <w:sz w:val="32"/>
          <w:szCs w:val="32"/>
        </w:rPr>
        <w:t>、</w:t>
      </w:r>
      <w:r w:rsidRPr="003446F9">
        <w:rPr>
          <w:rFonts w:ascii="仿宋" w:eastAsia="仿宋" w:hAnsi="仿宋"/>
          <w:b/>
          <w:bCs/>
          <w:sz w:val="32"/>
          <w:szCs w:val="32"/>
        </w:rPr>
        <w:t>单位基本情况</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湖南财政经济学院地处长沙市岳麓区，占地面积760.35亩，与长沙西湖文化公园、梅溪湖国际新城毗邻而居，是一所由湖南省人民政府主办、省教育厅主管、省财政厅协管的全日制财经类本科院校。学校是国家“双一流”本科专业建设高校、湖南省“双一流”建设项目应用特色学科建设高校，是“大数据国家标准优秀试点单位”、教育部“教育电子政务试点工程单位”（全国四所试点高校之一）、“湖南省文明高等学校”“湖南省普通高校招生工作先进单位”“湖南省高校思想政治教育研究先进单位”和“湖南省综治工作先进单位”。</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办学历史悠久。学校源于1933年创办的“私立厚生会计讲习所”（民国时期湖南办学历史较早的私立中等会计专业学校），此后，相继经历了“湖南厚生会计学校”“湖南省财政学校”“湖南财政贸易干部学校”“湖南省财贸学校”“湖南省财政会计学校”“湖南省财会学校”“湖南财经专科学校”“湖南财经高等专科学校”等校名的变革。2010年3月，经教育部批准升</w:t>
      </w:r>
      <w:r w:rsidRPr="00A2745C">
        <w:rPr>
          <w:rFonts w:ascii="仿宋" w:eastAsia="仿宋" w:hAnsi="仿宋" w:hint="eastAsia"/>
          <w:sz w:val="32"/>
          <w:szCs w:val="32"/>
        </w:rPr>
        <w:lastRenderedPageBreak/>
        <w:t>格为本科院校，校名为“湖南财政经济学院”。2020年7月，湖南省教育厅发文，决定从2020年起，我校调入湖南省本科一批录取。</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发展定位清晰。学校坚持人才培养的核心地位、坚持德智体美劳全面发展、坚持厚基础强能力高素质的办学理念，总体定位目标为以财经教育为特色，以应用型人才培养为主要方向，发展定位为财经特色鲜明的应用型一流本科院校；办学层次为以普通全日制本科学历教育为主，大力开展留学生教育，合作开展研究生教育。</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财经特色鲜明。学校设有会计学院、财政金融学院、经济学院、工商管理学院、信息技术与管理学院、公共管理学院、工程管理学院、外国语学院、人文与艺术学院、数学与统计学院、体育学院、马克思主义学院、厚生国际教育学院、湖南省经济地理研究所等14个二级院所；以管理学、经济学为主，学科专业涵盖管理学、经济学、工学、文学、法学、艺术学、教育学7大门类；开设有40个本科专业，以财经类专业为主，有会计学、财务管理、审计学、财政学、金融学、投资学、税收学、国际经济与贸易、经济学、商务经济学、国际商务、人力资源管理、市场营销、物流管理、计算机科学与技术、人工智能、数据科学与大数据技术、电子商务、土地资源管理、工程造价、金融数学、商务英语、旅游管理、体育经济与管理、经济统计学、金融科技、人文地理与城乡规划等专业，其他专业也不同程度突出财经特色，其中，5个专业（国际经济与贸易、财务管理、会计学、金融学、计算机科学与技术）入选国家一流本科专业建设点；10个专业（财政学、人力资源管理、土地资源管理、国际商务、税收学、市场营销、电子信息工程、英语、行政管理、房地产开发与管理财政学）入选省级一流本科专业建设点。4个学科（应用经济学、计算机科学与技术、工商管理、公共管理）入选湖南省高等学校“双一流”建设项目的应用特色学科；与</w:t>
      </w:r>
      <w:r w:rsidRPr="00A2745C">
        <w:rPr>
          <w:rFonts w:ascii="仿宋" w:eastAsia="仿宋" w:hAnsi="仿宋" w:hint="eastAsia"/>
          <w:sz w:val="32"/>
          <w:szCs w:val="32"/>
        </w:rPr>
        <w:lastRenderedPageBreak/>
        <w:t>湘潭大学、湖南师范大学签署了战略合作框架协议，合作培养研究生。现有全日制在校本科学生1.6万余人。</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师资力量厚实。现有在职教职工840人，其中正高职称教师94人，副高职称教师222人；有博士学位教师280人；有海外留学经历教师161人。专任教师中，享受国务院政府特殊津贴专家5人、新世纪百千万人才工程国家级人选1人、财政部“会计名家培养工程人才”人选1人、教育部新世纪优秀人才支持计划2人、铁道部青年科技拔尖人才1人、全国新闻出版行业领军人才（学术型）1人、享受湖南省政府特殊津贴专家1人、湖南省跨世纪学术与技术带头人2人、新世纪湖南省青年社会科学研究人才百人工程1人、湖南省优秀社科专家1人、湖南省普通高等学校教学名师1人、湖南省新世纪“121人才工程”人选13人，湖南省“芙蓉学者”计划1人，湖南省优秀青年社会科学专家1人、省级优秀教师、教学能手和中青年骨干教师数十人，已形成一支结构合理、素质较高的师资和管理干部队伍。</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科研提升迅速。学校强力推进科研平台建设和科学研究工作，建有 1 个省级 2011 协同创新中心、1个省级创新团队、3 个省级重点实验室、12个省（厅）级研究基地和 22个校级研究机构。其中，全国地理类权威期刊《经济地理》是CSSCI重要来源期刊，在地理学科和经济学科有重要影响。近年来，学校师均到账科研经费5万元以上，获得各级各类科研项目800多项，其中国家社会科学基金和国家自然科学基金项目33项，获省级科研成果奖14项，其中省科学技术奖6项。</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国际化进程快。学校坚持开放办学，推进教育国际化进程，积极开展国际合作与交流，先后与澳大利亚的新南威尔士大学、西澳大学、悉尼科技大学，美国的旧金山大学、加州州立理工大学（波莫纳分校），英国罗汉</w:t>
      </w:r>
      <w:r w:rsidRPr="00A2745C">
        <w:rPr>
          <w:rFonts w:ascii="仿宋" w:eastAsia="仿宋" w:hAnsi="仿宋" w:hint="eastAsia"/>
          <w:sz w:val="32"/>
          <w:szCs w:val="32"/>
        </w:rPr>
        <w:lastRenderedPageBreak/>
        <w:t>普顿大学，新西兰林肯大学41所国（境）外知名院校和教育机构签订友好合作协议，全面开展师生多平台、多角度、多层次、多样化的对外合作交流。每年递增式选派师生赴国（境）外开展访学、研修、培训、联合培养、交换等；开设有教育部批准的中外合作办学本科教育项目1个，并招收语言进修和学历教育国际学生。</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人才培养出色。学校始终突出教学中心地位，明确了立德树人、德育为先、学生为本的教育教学指导思想，确立了基础扎实、创新意识和实践能力较强、德智体美劳全面发展的高素质应用型人才培养目标，着力构建基于“正德厚生”文化的“三全育人”体制机制，并按照“学生中心”“产出导向”“持续改进”的先进理念和“厚基础、强能力、高素质”的要求，努力探索教育教学改革的新路径，不断优化人才培养的新模式。全面加强了人才培养的顶层设计，强化了通识教育，夯实了专业基础教育，优化了专业教育，深化了创新创业教育，推进了劳动教育，突出了财经特色；全面加强了学分制改革和网上教学改革，实行了弹性学制、选课制、重修制、辅修制、实验室开放制和网上学分认定制度；开展了思想政治理论课、通识教育课、大学体育课和“课程思政”教学改革；实施了“三学期”制，面向全校学生开办以经济学、管理学和人文科技素质提升为主的海内外名师双语课程，着力打造财经教育高地；开展了人才培养改革创新实验，积极引入新理念、新标准、新模式、新方法、新技术、新文化，培养拔尖创新型卓越人才，新增财政学、财务管理、国际经济与贸易、数据科学与大数据技术4个专业“厚生班”招生，旨在培养一批有志于本领域内继续深造或学术研究的应用型、创新型专门人才。学校确立了48门校级重点建设课程，新建了819门网络课程，7门双语课程。有国家级一流本科课程2门（财政学、会计学原理），省级一流本科课程34门，省级精品在线开放</w:t>
      </w:r>
      <w:r w:rsidRPr="00A2745C">
        <w:rPr>
          <w:rFonts w:ascii="仿宋" w:eastAsia="仿宋" w:hAnsi="仿宋" w:hint="eastAsia"/>
          <w:sz w:val="32"/>
          <w:szCs w:val="32"/>
        </w:rPr>
        <w:lastRenderedPageBreak/>
        <w:t>课程5门。近三年，在校学生参加大学生各类学科竞赛，获国家级和省级各类奖项600余项，获国家级和省级创新创业训练计划项目100多项，在SCI等国内外期刊上发表学术论文200多篇，学生英语四、六级考试成绩稳居同类院校前列。文化活动丰富。学校既有大学生学术科创节、校园文化艺术节、社团文化风采月等传统品牌，又有由“读百部名著”工程和“赏百部佳片”工程构成的“双百工程”以及“正德讲堂”“厚生讲坛”等全新校园文化品牌，还有“三下乡”“大手牵小手”等社会实践活动项目，活动形式多样，有辩论赛、讲座、读书会、文艺晚会、学习实践等。目前，学校有财院大学生合唱团、校艺术团、啦啦操协会等在册学生社团及协会50多个，种类齐全，覆盖面广，学生参与率高，是发掘学生兴趣、培养学生能力的良好平台。学校通过丰富多彩的社会实践、学科竞赛、科技创新、文体活动等第二课堂活动，将素质教育渗透到人才培养的各个环节。</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招生就业火热。历年来，学校考生报考率、第一志愿录取率、毕业生就业率均名列省内同类院校前茅，并已面向全国29个省（市、自治区）招生。学校自建校以来，累计为社会培养了近10万名毕业生。毕业生十分受欢迎，就业情况好。他们活跃在各行各业，尤其是湖南的财政、会计、金融领域，为地方社会经济发展</w:t>
      </w:r>
      <w:r>
        <w:rPr>
          <w:rFonts w:ascii="仿宋" w:eastAsia="仿宋" w:hAnsi="仿宋" w:hint="eastAsia"/>
          <w:sz w:val="32"/>
          <w:szCs w:val="32"/>
        </w:rPr>
        <w:t>做</w:t>
      </w:r>
      <w:r w:rsidRPr="00A2745C">
        <w:rPr>
          <w:rFonts w:ascii="仿宋" w:eastAsia="仿宋" w:hAnsi="仿宋" w:hint="eastAsia"/>
          <w:sz w:val="32"/>
          <w:szCs w:val="32"/>
        </w:rPr>
        <w:t>出了重要贡献。近年来，学校通过各种方式对毕业生、用人单位及学生家长进行了跟踪调查，调查结果和社会各界的反映显示：用人单位对我校毕业生满意度在90%以上，认为我校毕业生专业素养高，学习能力强，能较快适应工作岗位，具有吃苦耐劳、爱岗敬业、积极上进的精神，能够创造性地完成工作。</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基础设施完备。建有现代化的数字教学平台和完善的校内实训、校外实践教学体系和覆盖整个校园的计算机网络服务体系，是教育部教育信息化试点高校；智慧校园项目基本完成，校园无线网络实现全覆盖；建设了</w:t>
      </w:r>
      <w:r w:rsidRPr="00A2745C">
        <w:rPr>
          <w:rFonts w:ascii="仿宋" w:eastAsia="仿宋" w:hAnsi="仿宋" w:hint="eastAsia"/>
          <w:sz w:val="32"/>
          <w:szCs w:val="32"/>
        </w:rPr>
        <w:lastRenderedPageBreak/>
        <w:t>一批智慧教室；图书馆馆藏图书150万余册、电子图书53万余册、年订阅杂志1000余种；建有现代化多功能体育馆，教学所需体育配套设施完备；学校新工（文）科产教融合基地建设蓄势待发。学生生活条件良好，校园食堂安装了中央空调，学生宿舍全部配备WIFI、空调、洗衣机、直饮水、热水等，建有2栋15层功能齐全的电梯楼学生公寓，普寝进行了装修和公寓化改造。校园环境优美，绿树成荫。</w:t>
      </w:r>
    </w:p>
    <w:p w:rsidR="00993675" w:rsidRPr="00A2745C" w:rsidRDefault="00993675" w:rsidP="00993675">
      <w:pPr>
        <w:ind w:firstLineChars="200" w:firstLine="640"/>
        <w:rPr>
          <w:rFonts w:ascii="仿宋" w:eastAsia="仿宋" w:hAnsi="仿宋"/>
          <w:sz w:val="32"/>
          <w:szCs w:val="32"/>
        </w:rPr>
      </w:pPr>
      <w:r w:rsidRPr="00A2745C">
        <w:rPr>
          <w:rFonts w:ascii="仿宋" w:eastAsia="仿宋" w:hAnsi="仿宋" w:hint="eastAsia"/>
          <w:sz w:val="32"/>
          <w:szCs w:val="32"/>
        </w:rPr>
        <w:t>面向未来，奋进新时代。学校将始终秉承“正德、厚生、经世、济用”之校训，以立德树人为根本任务，遵循高等教育教学规律，着力提高办学实力和综合竞争力，不断推进内涵式发展和特色发展，强力打造优势突出、特色鲜明、在省内外有较高知名度的财经类一流本科院校，致力于早日建成具有一定影响力的财经类大学。</w:t>
      </w:r>
    </w:p>
    <w:p w:rsidR="00993675" w:rsidRPr="002B5868" w:rsidRDefault="00993675" w:rsidP="00993675">
      <w:pPr>
        <w:widowControl/>
        <w:shd w:val="clear" w:color="auto" w:fill="FFFFFF"/>
        <w:ind w:firstLineChars="200" w:firstLine="643"/>
        <w:rPr>
          <w:rFonts w:ascii="仿宋" w:eastAsia="仿宋" w:hAnsi="仿宋"/>
          <w:b/>
          <w:sz w:val="32"/>
          <w:szCs w:val="32"/>
        </w:rPr>
      </w:pPr>
      <w:r w:rsidRPr="002B5868">
        <w:rPr>
          <w:rFonts w:ascii="仿宋" w:eastAsia="仿宋" w:hAnsi="仿宋" w:hint="eastAsia"/>
          <w:b/>
          <w:sz w:val="32"/>
          <w:szCs w:val="32"/>
        </w:rPr>
        <w:t>二、绩效评价工作情况</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（一）准备阶段</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1、财务部门根据学校绩效评价领导小组的部署，启动年度评价工作，分类制定自评项目共性指标及自评表。</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2、各预算执行单位根据学校确定的评价范围，组织实施本部门的自评工作。</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（二）实施阶段</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1、财务部门根据学校绩效评价工作领导小组的部署，下达年度绩效评价工作通知，明确自评工作要求。</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2、各预算执行单位根据财务部门的布置和要求开展绩效自评工作：收集评价基础材料，选取评价指标，选用评价方法，综合分析评价，确定评价结果，填报自评表，撰写自评报告。</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 xml:space="preserve"> （三）总结阶段</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lastRenderedPageBreak/>
        <w:t>1、各预算执行单位按要求及时、完整地向财务部门报送本部门自评材料及报告。</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2、财务部门组织相关专家对各部门报送的自评材料及报告的客观性、科学性和规范性进行评审，形成评审意见报学校绩效评价工作领导小组通过，将审核意见反馈给预算执行单位。</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3、财务部门、预算执行单位对绩效评价工作进行总结，针对存在的问题，提出改进意见，进一步加强管理。财务部门将绩效评价材料整理存档。</w:t>
      </w:r>
    </w:p>
    <w:p w:rsidR="00993675"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4、财务部门撰写预算绩效评价工作总结，报请学校绩效评价工作领导小组审议，通过后报学校审议。</w:t>
      </w:r>
    </w:p>
    <w:p w:rsidR="00993675" w:rsidRPr="00BC064F" w:rsidRDefault="00993675" w:rsidP="00993675">
      <w:pPr>
        <w:ind w:firstLineChars="200" w:firstLine="643"/>
        <w:rPr>
          <w:rFonts w:ascii="仿宋" w:eastAsia="仿宋" w:hAnsi="仿宋"/>
          <w:b/>
          <w:sz w:val="32"/>
          <w:szCs w:val="32"/>
        </w:rPr>
      </w:pPr>
      <w:r w:rsidRPr="00BC064F">
        <w:rPr>
          <w:rFonts w:ascii="仿宋" w:eastAsia="仿宋" w:hAnsi="仿宋" w:hint="eastAsia"/>
          <w:b/>
          <w:sz w:val="32"/>
          <w:szCs w:val="32"/>
        </w:rPr>
        <w:t>三、</w:t>
      </w:r>
      <w:r>
        <w:rPr>
          <w:rFonts w:ascii="仿宋" w:eastAsia="仿宋" w:hAnsi="仿宋" w:hint="eastAsia"/>
          <w:b/>
          <w:sz w:val="32"/>
          <w:szCs w:val="32"/>
        </w:rPr>
        <w:t>一般公共预算支出情况</w:t>
      </w:r>
    </w:p>
    <w:p w:rsidR="00993675" w:rsidRDefault="00993675" w:rsidP="00993675">
      <w:pPr>
        <w:ind w:firstLineChars="200" w:firstLine="640"/>
        <w:rPr>
          <w:rFonts w:ascii="仿宋" w:eastAsia="仿宋" w:hAnsi="仿宋"/>
          <w:b/>
          <w:bCs/>
          <w:sz w:val="32"/>
          <w:szCs w:val="32"/>
        </w:rPr>
      </w:pPr>
      <w:r>
        <w:rPr>
          <w:rFonts w:ascii="仿宋" w:eastAsia="仿宋" w:hAnsi="仿宋" w:hint="eastAsia"/>
          <w:sz w:val="32"/>
          <w:szCs w:val="32"/>
        </w:rPr>
        <w:t>2020年</w:t>
      </w:r>
      <w:r w:rsidRPr="00661D68">
        <w:rPr>
          <w:rFonts w:ascii="仿宋" w:eastAsia="仿宋" w:hAnsi="仿宋" w:hint="eastAsia"/>
          <w:sz w:val="32"/>
          <w:szCs w:val="32"/>
        </w:rPr>
        <w:t>单位</w:t>
      </w:r>
      <w:r>
        <w:rPr>
          <w:rFonts w:ascii="仿宋" w:eastAsia="仿宋" w:hAnsi="仿宋" w:hint="eastAsia"/>
          <w:color w:val="000000" w:themeColor="text1"/>
          <w:sz w:val="32"/>
          <w:szCs w:val="32"/>
        </w:rPr>
        <w:t>全年完成支出39,608.18万元，</w:t>
      </w:r>
      <w:r>
        <w:rPr>
          <w:rFonts w:ascii="仿宋" w:eastAsia="仿宋" w:hAnsi="仿宋" w:hint="eastAsia"/>
          <w:sz w:val="32"/>
          <w:szCs w:val="32"/>
        </w:rPr>
        <w:t>比上年增加</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934.20</w:t>
      </w:r>
      <w:r>
        <w:rPr>
          <w:rFonts w:ascii="仿宋" w:eastAsia="仿宋" w:hAnsi="仿宋" w:hint="eastAsia"/>
          <w:sz w:val="32"/>
          <w:szCs w:val="32"/>
        </w:rPr>
        <w:t>万元，增长</w:t>
      </w: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00%</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color w:val="000000" w:themeColor="text1"/>
          <w:sz w:val="32"/>
          <w:szCs w:val="32"/>
        </w:rPr>
        <w:t>人员支出20,</w:t>
      </w:r>
      <w:r>
        <w:rPr>
          <w:rFonts w:ascii="仿宋" w:eastAsia="仿宋" w:hAnsi="仿宋"/>
          <w:color w:val="000000" w:themeColor="text1"/>
          <w:sz w:val="32"/>
          <w:szCs w:val="32"/>
        </w:rPr>
        <w:t>418</w:t>
      </w:r>
      <w:r>
        <w:rPr>
          <w:rFonts w:ascii="仿宋" w:eastAsia="仿宋" w:hAnsi="仿宋" w:hint="eastAsia"/>
          <w:color w:val="000000" w:themeColor="text1"/>
          <w:sz w:val="32"/>
          <w:szCs w:val="32"/>
        </w:rPr>
        <w:t>.</w:t>
      </w:r>
      <w:r>
        <w:rPr>
          <w:rFonts w:ascii="仿宋" w:eastAsia="仿宋" w:hAnsi="仿宋"/>
          <w:color w:val="000000" w:themeColor="text1"/>
          <w:sz w:val="32"/>
          <w:szCs w:val="32"/>
        </w:rPr>
        <w:t>83</w:t>
      </w:r>
      <w:r>
        <w:rPr>
          <w:rFonts w:ascii="仿宋" w:eastAsia="仿宋" w:hAnsi="仿宋" w:hint="eastAsia"/>
          <w:color w:val="000000" w:themeColor="text1"/>
          <w:sz w:val="32"/>
          <w:szCs w:val="32"/>
        </w:rPr>
        <w:t>万元，比上年增加2,</w:t>
      </w:r>
      <w:r>
        <w:rPr>
          <w:rFonts w:ascii="仿宋" w:eastAsia="仿宋" w:hAnsi="仿宋"/>
          <w:color w:val="000000" w:themeColor="text1"/>
          <w:sz w:val="32"/>
          <w:szCs w:val="32"/>
        </w:rPr>
        <w:t>381</w:t>
      </w:r>
      <w:r>
        <w:rPr>
          <w:rFonts w:ascii="仿宋" w:eastAsia="仿宋" w:hAnsi="仿宋" w:hint="eastAsia"/>
          <w:color w:val="000000" w:themeColor="text1"/>
          <w:sz w:val="32"/>
          <w:szCs w:val="32"/>
        </w:rPr>
        <w:t>.</w:t>
      </w:r>
      <w:r>
        <w:rPr>
          <w:rFonts w:ascii="仿宋" w:eastAsia="仿宋" w:hAnsi="仿宋"/>
          <w:color w:val="000000" w:themeColor="text1"/>
          <w:sz w:val="32"/>
          <w:szCs w:val="32"/>
        </w:rPr>
        <w:t>62</w:t>
      </w:r>
      <w:r>
        <w:rPr>
          <w:rFonts w:ascii="仿宋" w:eastAsia="仿宋" w:hAnsi="仿宋" w:hint="eastAsia"/>
          <w:color w:val="000000" w:themeColor="text1"/>
          <w:sz w:val="32"/>
          <w:szCs w:val="32"/>
        </w:rPr>
        <w:t>万元，增长1</w:t>
      </w:r>
      <w:r>
        <w:rPr>
          <w:rFonts w:ascii="仿宋" w:eastAsia="仿宋" w:hAnsi="仿宋"/>
          <w:color w:val="000000" w:themeColor="text1"/>
          <w:sz w:val="32"/>
          <w:szCs w:val="32"/>
        </w:rPr>
        <w:t>3</w:t>
      </w:r>
      <w:r>
        <w:rPr>
          <w:rFonts w:ascii="仿宋" w:eastAsia="仿宋" w:hAnsi="仿宋" w:hint="eastAsia"/>
          <w:color w:val="000000" w:themeColor="text1"/>
          <w:sz w:val="32"/>
          <w:szCs w:val="32"/>
        </w:rPr>
        <w:t>.</w:t>
      </w:r>
      <w:r>
        <w:rPr>
          <w:rFonts w:ascii="仿宋" w:eastAsia="仿宋" w:hAnsi="仿宋"/>
          <w:color w:val="000000" w:themeColor="text1"/>
          <w:sz w:val="32"/>
          <w:szCs w:val="32"/>
        </w:rPr>
        <w:t>2</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；运转保障支出1</w:t>
      </w:r>
      <w:r>
        <w:rPr>
          <w:rFonts w:ascii="仿宋" w:eastAsia="仿宋" w:hAnsi="仿宋"/>
          <w:color w:val="000000" w:themeColor="text1"/>
          <w:sz w:val="32"/>
          <w:szCs w:val="32"/>
        </w:rPr>
        <w:t>0</w:t>
      </w:r>
      <w:r>
        <w:rPr>
          <w:rFonts w:ascii="仿宋" w:eastAsia="仿宋" w:hAnsi="仿宋" w:hint="eastAsia"/>
          <w:color w:val="000000" w:themeColor="text1"/>
          <w:sz w:val="32"/>
          <w:szCs w:val="32"/>
        </w:rPr>
        <w:t>,</w:t>
      </w:r>
      <w:r>
        <w:rPr>
          <w:rFonts w:ascii="仿宋" w:eastAsia="仿宋" w:hAnsi="仿宋"/>
          <w:color w:val="000000" w:themeColor="text1"/>
          <w:sz w:val="32"/>
          <w:szCs w:val="32"/>
        </w:rPr>
        <w:t>285</w:t>
      </w:r>
      <w:r>
        <w:rPr>
          <w:rFonts w:ascii="仿宋" w:eastAsia="仿宋" w:hAnsi="仿宋" w:hint="eastAsia"/>
          <w:color w:val="000000" w:themeColor="text1"/>
          <w:sz w:val="32"/>
          <w:szCs w:val="32"/>
        </w:rPr>
        <w:t>.</w:t>
      </w:r>
      <w:r>
        <w:rPr>
          <w:rFonts w:ascii="仿宋" w:eastAsia="仿宋" w:hAnsi="仿宋"/>
          <w:color w:val="000000" w:themeColor="text1"/>
          <w:sz w:val="32"/>
          <w:szCs w:val="32"/>
        </w:rPr>
        <w:t>13</w:t>
      </w:r>
      <w:r>
        <w:rPr>
          <w:rFonts w:ascii="仿宋" w:eastAsia="仿宋" w:hAnsi="仿宋" w:hint="eastAsia"/>
          <w:color w:val="000000" w:themeColor="text1"/>
          <w:sz w:val="32"/>
          <w:szCs w:val="32"/>
        </w:rPr>
        <w:t>万元，比上年增加</w:t>
      </w:r>
      <w:r>
        <w:rPr>
          <w:rFonts w:ascii="仿宋" w:eastAsia="仿宋" w:hAnsi="仿宋"/>
          <w:color w:val="000000" w:themeColor="text1"/>
          <w:sz w:val="32"/>
          <w:szCs w:val="32"/>
        </w:rPr>
        <w:t>1</w:t>
      </w:r>
      <w:r>
        <w:rPr>
          <w:rFonts w:ascii="仿宋" w:eastAsia="仿宋" w:hAnsi="仿宋" w:hint="eastAsia"/>
          <w:color w:val="000000" w:themeColor="text1"/>
          <w:sz w:val="32"/>
          <w:szCs w:val="32"/>
        </w:rPr>
        <w:t>,</w:t>
      </w:r>
      <w:r>
        <w:rPr>
          <w:rFonts w:ascii="仿宋" w:eastAsia="仿宋" w:hAnsi="仿宋"/>
          <w:color w:val="000000" w:themeColor="text1"/>
          <w:sz w:val="32"/>
          <w:szCs w:val="32"/>
        </w:rPr>
        <w:t>908.57</w:t>
      </w:r>
      <w:r>
        <w:rPr>
          <w:rFonts w:ascii="仿宋" w:eastAsia="仿宋" w:hAnsi="仿宋" w:hint="eastAsia"/>
          <w:color w:val="000000" w:themeColor="text1"/>
          <w:sz w:val="32"/>
          <w:szCs w:val="32"/>
        </w:rPr>
        <w:t>万元，增长22.</w:t>
      </w:r>
      <w:r>
        <w:rPr>
          <w:rFonts w:ascii="仿宋" w:eastAsia="仿宋" w:hAnsi="仿宋"/>
          <w:color w:val="000000" w:themeColor="text1"/>
          <w:sz w:val="32"/>
          <w:szCs w:val="32"/>
        </w:rPr>
        <w:t>7</w:t>
      </w:r>
      <w:r>
        <w:rPr>
          <w:rFonts w:ascii="仿宋" w:eastAsia="仿宋" w:hAnsi="仿宋" w:hint="eastAsia"/>
          <w:color w:val="000000" w:themeColor="text1"/>
          <w:sz w:val="32"/>
          <w:szCs w:val="32"/>
        </w:rPr>
        <w:t>8</w:t>
      </w:r>
      <w:r>
        <w:rPr>
          <w:rFonts w:ascii="仿宋" w:eastAsia="仿宋" w:hAnsi="仿宋"/>
          <w:color w:val="000000" w:themeColor="text1"/>
          <w:sz w:val="32"/>
          <w:szCs w:val="32"/>
        </w:rPr>
        <w:t>%</w:t>
      </w:r>
      <w:bookmarkStart w:id="1" w:name="OLE_LINK2"/>
      <w:r>
        <w:rPr>
          <w:rFonts w:ascii="仿宋" w:eastAsia="仿宋" w:hAnsi="仿宋" w:hint="eastAsia"/>
          <w:color w:val="000000" w:themeColor="text1"/>
          <w:sz w:val="32"/>
          <w:szCs w:val="32"/>
        </w:rPr>
        <w:t>；发展建设支出</w:t>
      </w:r>
      <w:bookmarkEnd w:id="1"/>
      <w:r>
        <w:rPr>
          <w:rFonts w:ascii="仿宋" w:eastAsia="仿宋" w:hAnsi="仿宋"/>
          <w:color w:val="000000" w:themeColor="text1"/>
          <w:sz w:val="32"/>
          <w:szCs w:val="32"/>
        </w:rPr>
        <w:t>8</w:t>
      </w:r>
      <w:r>
        <w:rPr>
          <w:rFonts w:ascii="仿宋" w:eastAsia="仿宋" w:hAnsi="仿宋" w:hint="eastAsia"/>
          <w:color w:val="000000" w:themeColor="text1"/>
          <w:sz w:val="32"/>
          <w:szCs w:val="32"/>
        </w:rPr>
        <w:t>,</w:t>
      </w:r>
      <w:r>
        <w:rPr>
          <w:rFonts w:ascii="仿宋" w:eastAsia="仿宋" w:hAnsi="仿宋"/>
          <w:color w:val="000000" w:themeColor="text1"/>
          <w:sz w:val="32"/>
          <w:szCs w:val="32"/>
        </w:rPr>
        <w:t>904</w:t>
      </w:r>
      <w:r>
        <w:rPr>
          <w:rFonts w:ascii="仿宋" w:eastAsia="仿宋" w:hAnsi="仿宋" w:hint="eastAsia"/>
          <w:color w:val="000000" w:themeColor="text1"/>
          <w:sz w:val="32"/>
          <w:szCs w:val="32"/>
        </w:rPr>
        <w:t>.2</w:t>
      </w:r>
      <w:r>
        <w:rPr>
          <w:rFonts w:ascii="仿宋" w:eastAsia="仿宋" w:hAnsi="仿宋"/>
          <w:color w:val="000000" w:themeColor="text1"/>
          <w:sz w:val="32"/>
          <w:szCs w:val="32"/>
        </w:rPr>
        <w:t>2</w:t>
      </w:r>
      <w:r>
        <w:rPr>
          <w:rFonts w:ascii="仿宋" w:eastAsia="仿宋" w:hAnsi="仿宋" w:hint="eastAsia"/>
          <w:color w:val="000000" w:themeColor="text1"/>
          <w:sz w:val="32"/>
          <w:szCs w:val="32"/>
        </w:rPr>
        <w:t>万元，比上年减少1,</w:t>
      </w:r>
      <w:r>
        <w:rPr>
          <w:rFonts w:ascii="仿宋" w:eastAsia="仿宋" w:hAnsi="仿宋"/>
          <w:color w:val="000000" w:themeColor="text1"/>
          <w:sz w:val="32"/>
          <w:szCs w:val="32"/>
        </w:rPr>
        <w:t>355</w:t>
      </w:r>
      <w:r>
        <w:rPr>
          <w:rFonts w:ascii="仿宋" w:eastAsia="仿宋" w:hAnsi="仿宋" w:hint="eastAsia"/>
          <w:color w:val="000000" w:themeColor="text1"/>
          <w:sz w:val="32"/>
          <w:szCs w:val="32"/>
        </w:rPr>
        <w:t>.</w:t>
      </w:r>
      <w:r>
        <w:rPr>
          <w:rFonts w:ascii="仿宋" w:eastAsia="仿宋" w:hAnsi="仿宋"/>
          <w:color w:val="000000" w:themeColor="text1"/>
          <w:sz w:val="32"/>
          <w:szCs w:val="32"/>
        </w:rPr>
        <w:t>99</w:t>
      </w:r>
      <w:r>
        <w:rPr>
          <w:rFonts w:ascii="仿宋" w:eastAsia="仿宋" w:hAnsi="仿宋" w:hint="eastAsia"/>
          <w:color w:val="000000" w:themeColor="text1"/>
          <w:sz w:val="32"/>
          <w:szCs w:val="32"/>
        </w:rPr>
        <w:t>万元，减少</w:t>
      </w:r>
      <w:r>
        <w:rPr>
          <w:rFonts w:ascii="仿宋" w:eastAsia="仿宋" w:hAnsi="仿宋"/>
          <w:color w:val="000000" w:themeColor="text1"/>
          <w:sz w:val="32"/>
          <w:szCs w:val="32"/>
        </w:rPr>
        <w:t>13</w:t>
      </w:r>
      <w:r>
        <w:rPr>
          <w:rFonts w:ascii="仿宋" w:eastAsia="仿宋" w:hAnsi="仿宋" w:hint="eastAsia"/>
          <w:color w:val="000000" w:themeColor="text1"/>
          <w:sz w:val="32"/>
          <w:szCs w:val="32"/>
        </w:rPr>
        <w:t>.</w:t>
      </w:r>
      <w:r>
        <w:rPr>
          <w:rFonts w:ascii="仿宋" w:eastAsia="仿宋" w:hAnsi="仿宋"/>
          <w:color w:val="000000" w:themeColor="text1"/>
          <w:sz w:val="32"/>
          <w:szCs w:val="32"/>
        </w:rPr>
        <w:t>22</w:t>
      </w:r>
      <w:r>
        <w:rPr>
          <w:rFonts w:ascii="仿宋" w:eastAsia="仿宋" w:hAnsi="仿宋" w:hint="eastAsia"/>
          <w:color w:val="000000" w:themeColor="text1"/>
          <w:sz w:val="32"/>
          <w:szCs w:val="32"/>
        </w:rPr>
        <w:t>%。</w:t>
      </w:r>
    </w:p>
    <w:p w:rsidR="00993675" w:rsidRPr="0030513E" w:rsidRDefault="00993675" w:rsidP="00993675">
      <w:pPr>
        <w:ind w:firstLineChars="200" w:firstLine="643"/>
        <w:rPr>
          <w:rFonts w:ascii="仿宋" w:eastAsia="仿宋" w:hAnsi="仿宋"/>
          <w:b/>
          <w:bCs/>
          <w:sz w:val="32"/>
          <w:szCs w:val="32"/>
        </w:rPr>
      </w:pPr>
      <w:r w:rsidRPr="0030513E">
        <w:rPr>
          <w:rFonts w:ascii="仿宋" w:eastAsia="仿宋" w:hAnsi="仿宋" w:hint="eastAsia"/>
          <w:b/>
          <w:bCs/>
          <w:sz w:val="32"/>
          <w:szCs w:val="32"/>
        </w:rPr>
        <w:t>（一）</w:t>
      </w:r>
      <w:r>
        <w:rPr>
          <w:rFonts w:ascii="仿宋" w:eastAsia="仿宋" w:hAnsi="仿宋" w:hint="eastAsia"/>
          <w:b/>
          <w:bCs/>
          <w:sz w:val="32"/>
          <w:szCs w:val="32"/>
        </w:rPr>
        <w:t>基本支出</w:t>
      </w:r>
      <w:r w:rsidRPr="0030513E">
        <w:rPr>
          <w:rFonts w:ascii="仿宋" w:eastAsia="仿宋" w:hAnsi="仿宋" w:hint="eastAsia"/>
          <w:b/>
          <w:bCs/>
          <w:sz w:val="32"/>
          <w:szCs w:val="32"/>
        </w:rPr>
        <w:t>情况</w:t>
      </w:r>
    </w:p>
    <w:p w:rsidR="00993675" w:rsidRDefault="00993675" w:rsidP="00993675">
      <w:pPr>
        <w:widowControl/>
        <w:shd w:val="clear" w:color="auto" w:fill="FFFFFF"/>
        <w:ind w:firstLineChars="200" w:firstLine="640"/>
        <w:rPr>
          <w:rFonts w:ascii="仿宋" w:eastAsia="仿宋" w:hAnsi="仿宋"/>
          <w:sz w:val="32"/>
          <w:szCs w:val="32"/>
        </w:rPr>
      </w:pPr>
      <w:r>
        <w:rPr>
          <w:rFonts w:ascii="仿宋" w:eastAsia="仿宋" w:hAnsi="仿宋" w:hint="eastAsia"/>
          <w:sz w:val="32"/>
          <w:szCs w:val="32"/>
        </w:rPr>
        <w:t>2020年预算安排上优先</w:t>
      </w:r>
      <w:r w:rsidRPr="00867567">
        <w:rPr>
          <w:rFonts w:ascii="仿宋" w:eastAsia="仿宋" w:hAnsi="仿宋" w:hint="eastAsia"/>
          <w:sz w:val="32"/>
          <w:szCs w:val="32"/>
        </w:rPr>
        <w:t>民生与教学</w:t>
      </w:r>
      <w:r>
        <w:rPr>
          <w:rFonts w:ascii="仿宋" w:eastAsia="仿宋" w:hAnsi="仿宋" w:hint="eastAsia"/>
          <w:sz w:val="32"/>
          <w:szCs w:val="32"/>
        </w:rPr>
        <w:t>经费的安排。</w:t>
      </w:r>
      <w:r w:rsidRPr="00867567">
        <w:rPr>
          <w:rFonts w:ascii="仿宋" w:eastAsia="仿宋" w:hAnsi="仿宋" w:hint="eastAsia"/>
          <w:sz w:val="32"/>
          <w:szCs w:val="32"/>
        </w:rPr>
        <w:t>遵循“发展、</w:t>
      </w:r>
      <w:r>
        <w:rPr>
          <w:rFonts w:ascii="仿宋" w:eastAsia="仿宋" w:hAnsi="仿宋" w:hint="eastAsia"/>
          <w:sz w:val="32"/>
          <w:szCs w:val="32"/>
        </w:rPr>
        <w:t>合规</w:t>
      </w:r>
      <w:r w:rsidRPr="00867567">
        <w:rPr>
          <w:rFonts w:ascii="仿宋" w:eastAsia="仿宋" w:hAnsi="仿宋" w:hint="eastAsia"/>
          <w:sz w:val="32"/>
          <w:szCs w:val="32"/>
        </w:rPr>
        <w:t>、有效、安全”的财务管理理念，确保学校有限财力“一个保障，三个优先”（民生经费保障，教学科研经费、教师队伍建设经费、学生创新创业经费优先），</w:t>
      </w:r>
      <w:r>
        <w:rPr>
          <w:rFonts w:ascii="仿宋" w:eastAsia="仿宋" w:hAnsi="仿宋" w:hint="eastAsia"/>
          <w:sz w:val="32"/>
          <w:szCs w:val="32"/>
        </w:rPr>
        <w:t>将学校有限财力保障民生支出，</w:t>
      </w:r>
      <w:r w:rsidRPr="00867567">
        <w:rPr>
          <w:rFonts w:ascii="仿宋" w:eastAsia="仿宋" w:hAnsi="仿宋" w:hint="eastAsia"/>
          <w:sz w:val="32"/>
          <w:szCs w:val="32"/>
        </w:rPr>
        <w:t>使教学工作的中心地位在学校预算中得以保障。</w:t>
      </w:r>
      <w:r>
        <w:rPr>
          <w:rFonts w:ascii="仿宋" w:eastAsia="仿宋" w:hAnsi="仿宋" w:hint="eastAsia"/>
          <w:sz w:val="32"/>
          <w:szCs w:val="32"/>
        </w:rPr>
        <w:t>2020年，学校财务加大预算统筹管理力度，坚决落实校长办公会确定的预算分配原则：一是严格压减“三公”经费支出；二是统筹兼顾聚焦重点支出；三是零基预算，按照需求安排年度预算；四是放管结合、发挥二级学院统筹权责。2020年，学校用于人员经费方面的支出一直稳定</w:t>
      </w:r>
      <w:r>
        <w:rPr>
          <w:rFonts w:ascii="仿宋" w:eastAsia="仿宋" w:hAnsi="仿宋" w:hint="eastAsia"/>
          <w:sz w:val="32"/>
          <w:szCs w:val="32"/>
        </w:rPr>
        <w:lastRenderedPageBreak/>
        <w:t>在学校可支配财力的80%以上。2020年“三公经费”支出在上年基础上继续压减10%，从各种渠道挤出来的经费主要用于解决人员经费的增长和人才引进工程支出、教学运转支出增长、后勤保障支出的增长。从上级争取来的资金主要用于解决发展建设方面的支出增长。同时，学校财务在财力有限的情况下继续贯彻了以教学工作为中心，保持教学运行支出在上年基础上有所增长，也体现了以学生为本，学生奖、助、贷、免、补等各方面的利益都得到切实的保障。</w:t>
      </w:r>
    </w:p>
    <w:p w:rsidR="00993675" w:rsidRPr="003446F9" w:rsidRDefault="00993675" w:rsidP="00993675">
      <w:pPr>
        <w:ind w:firstLineChars="200" w:firstLine="640"/>
        <w:rPr>
          <w:rFonts w:ascii="仿宋" w:eastAsia="仿宋" w:hAnsi="仿宋"/>
          <w:sz w:val="32"/>
          <w:szCs w:val="32"/>
        </w:rPr>
      </w:pPr>
      <w:r w:rsidRPr="00620C1A">
        <w:rPr>
          <w:rFonts w:ascii="仿宋" w:eastAsia="仿宋" w:hAnsi="仿宋" w:hint="eastAsia"/>
          <w:sz w:val="32"/>
          <w:szCs w:val="32"/>
        </w:rPr>
        <w:t>在预算分配方面，坚决贯彻上述理念与思路，</w:t>
      </w:r>
      <w:r>
        <w:rPr>
          <w:rFonts w:ascii="仿宋" w:eastAsia="仿宋" w:hAnsi="仿宋" w:hint="eastAsia"/>
          <w:sz w:val="32"/>
          <w:szCs w:val="32"/>
        </w:rPr>
        <w:t>2020</w:t>
      </w:r>
      <w:r w:rsidRPr="00BC5D9E">
        <w:rPr>
          <w:rFonts w:ascii="仿宋" w:eastAsia="仿宋" w:hAnsi="仿宋" w:hint="eastAsia"/>
          <w:sz w:val="32"/>
          <w:szCs w:val="32"/>
        </w:rPr>
        <w:t>年</w:t>
      </w:r>
      <w:r w:rsidRPr="00204C7E">
        <w:rPr>
          <w:rFonts w:ascii="仿宋" w:eastAsia="仿宋" w:hAnsi="仿宋" w:hint="eastAsia"/>
          <w:sz w:val="32"/>
          <w:szCs w:val="32"/>
        </w:rPr>
        <w:t>度</w:t>
      </w:r>
      <w:r w:rsidRPr="00BC5D9E">
        <w:rPr>
          <w:rFonts w:ascii="仿宋" w:eastAsia="仿宋" w:hAnsi="仿宋" w:hint="eastAsia"/>
          <w:sz w:val="32"/>
          <w:szCs w:val="32"/>
        </w:rPr>
        <w:t>我们安排建</w:t>
      </w:r>
      <w:r w:rsidRPr="00204C7E">
        <w:rPr>
          <w:rFonts w:ascii="仿宋" w:eastAsia="仿宋" w:hAnsi="仿宋" w:hint="eastAsia"/>
          <w:sz w:val="32"/>
          <w:szCs w:val="32"/>
        </w:rPr>
        <w:t>有现代化的数字教学平台和较完善的校内实训、校外实践教学体系和覆盖整个校园的计算机网络服务体系，是教育部教育信息化试点高校</w:t>
      </w:r>
      <w:r w:rsidRPr="00BC5D9E">
        <w:rPr>
          <w:rFonts w:ascii="仿宋" w:eastAsia="仿宋" w:hAnsi="仿宋" w:hint="eastAsia"/>
          <w:sz w:val="32"/>
          <w:szCs w:val="32"/>
        </w:rPr>
        <w:t>；图书馆馆藏图书</w:t>
      </w:r>
      <w:r w:rsidRPr="00FB3A4D">
        <w:rPr>
          <w:rFonts w:ascii="仿宋" w:eastAsia="仿宋" w:hAnsi="仿宋" w:hint="eastAsia"/>
          <w:color w:val="FF0000"/>
          <w:sz w:val="32"/>
          <w:szCs w:val="32"/>
        </w:rPr>
        <w:t>127</w:t>
      </w:r>
      <w:r w:rsidRPr="00BC5D9E">
        <w:rPr>
          <w:rFonts w:ascii="仿宋" w:eastAsia="仿宋" w:hAnsi="仿宋" w:hint="eastAsia"/>
          <w:sz w:val="32"/>
          <w:szCs w:val="32"/>
        </w:rPr>
        <w:t>万余册、电子图书</w:t>
      </w:r>
      <w:r w:rsidRPr="00FB3A4D">
        <w:rPr>
          <w:rFonts w:ascii="仿宋" w:eastAsia="仿宋" w:hAnsi="仿宋" w:hint="eastAsia"/>
          <w:color w:val="FF0000"/>
          <w:sz w:val="32"/>
          <w:szCs w:val="32"/>
        </w:rPr>
        <w:t>53</w:t>
      </w:r>
      <w:r w:rsidRPr="00BC5D9E">
        <w:rPr>
          <w:rFonts w:ascii="仿宋" w:eastAsia="仿宋" w:hAnsi="仿宋" w:hint="eastAsia"/>
          <w:sz w:val="32"/>
          <w:szCs w:val="32"/>
        </w:rPr>
        <w:t>万余册</w:t>
      </w:r>
      <w:r w:rsidRPr="00CB522C">
        <w:rPr>
          <w:rFonts w:ascii="仿宋" w:eastAsia="仿宋" w:hAnsi="仿宋" w:hint="eastAsia"/>
          <w:sz w:val="32"/>
          <w:szCs w:val="32"/>
        </w:rPr>
        <w:t>；建有现代化多功能体育馆，教学所需体育配套设施完备；学生生活条件良好，学生宿舍全部配备WIFI、空调、洗衣机、直饮水、热水等，建有2栋15层功能齐全的学生宿舍电梯楼。校园环境优美，绿树成荫。这些工程项目的实施，使学校的校园环境得到明显改观。</w:t>
      </w:r>
    </w:p>
    <w:p w:rsidR="00993675" w:rsidRPr="00CB522C" w:rsidRDefault="00993675" w:rsidP="00993675">
      <w:pPr>
        <w:spacing w:line="520" w:lineRule="exact"/>
        <w:ind w:firstLineChars="200" w:firstLine="640"/>
        <w:rPr>
          <w:rFonts w:ascii="仿宋" w:eastAsia="仿宋" w:hAnsi="仿宋"/>
          <w:sz w:val="32"/>
          <w:szCs w:val="32"/>
        </w:rPr>
      </w:pPr>
      <w:r>
        <w:rPr>
          <w:rFonts w:ascii="仿宋" w:eastAsia="仿宋" w:hAnsi="仿宋" w:hint="eastAsia"/>
          <w:sz w:val="32"/>
          <w:szCs w:val="32"/>
        </w:rPr>
        <w:t>2020年</w:t>
      </w:r>
      <w:r w:rsidRPr="004A4B42">
        <w:rPr>
          <w:rFonts w:ascii="仿宋" w:eastAsia="仿宋" w:hAnsi="仿宋" w:hint="eastAsia"/>
          <w:sz w:val="32"/>
          <w:szCs w:val="32"/>
        </w:rPr>
        <w:t>我们大幅增加了二级学院</w:t>
      </w:r>
      <w:r>
        <w:rPr>
          <w:rFonts w:ascii="仿宋" w:eastAsia="仿宋" w:hAnsi="仿宋" w:hint="eastAsia"/>
          <w:sz w:val="32"/>
          <w:szCs w:val="32"/>
        </w:rPr>
        <w:t>学科与专业</w:t>
      </w:r>
      <w:r w:rsidRPr="004A4B42">
        <w:rPr>
          <w:rFonts w:ascii="仿宋" w:eastAsia="仿宋" w:hAnsi="仿宋" w:hint="eastAsia"/>
          <w:sz w:val="32"/>
          <w:szCs w:val="32"/>
        </w:rPr>
        <w:t>建设经费和学生实习活动经费，</w:t>
      </w:r>
      <w:r>
        <w:rPr>
          <w:rFonts w:ascii="仿宋" w:eastAsia="仿宋" w:hAnsi="仿宋" w:hint="eastAsia"/>
          <w:sz w:val="32"/>
          <w:szCs w:val="32"/>
        </w:rPr>
        <w:t>2020</w:t>
      </w:r>
      <w:r w:rsidRPr="004A4B42">
        <w:rPr>
          <w:rFonts w:ascii="仿宋" w:eastAsia="仿宋" w:hAnsi="仿宋" w:hint="eastAsia"/>
          <w:sz w:val="32"/>
          <w:szCs w:val="32"/>
        </w:rPr>
        <w:t>年</w:t>
      </w:r>
      <w:r>
        <w:rPr>
          <w:rFonts w:ascii="仿宋" w:eastAsia="仿宋" w:hAnsi="仿宋" w:hint="eastAsia"/>
          <w:sz w:val="32"/>
          <w:szCs w:val="32"/>
        </w:rPr>
        <w:t>学科与专业</w:t>
      </w:r>
      <w:r w:rsidRPr="004A4B42">
        <w:rPr>
          <w:rFonts w:ascii="仿宋" w:eastAsia="仿宋" w:hAnsi="仿宋" w:hint="eastAsia"/>
          <w:sz w:val="32"/>
          <w:szCs w:val="32"/>
        </w:rPr>
        <w:t>建设经费由</w:t>
      </w:r>
      <w:r>
        <w:rPr>
          <w:rFonts w:ascii="仿宋" w:eastAsia="仿宋" w:hAnsi="仿宋" w:hint="eastAsia"/>
          <w:sz w:val="32"/>
          <w:szCs w:val="32"/>
        </w:rPr>
        <w:t>105</w:t>
      </w:r>
      <w:r w:rsidRPr="004A4B42">
        <w:rPr>
          <w:rFonts w:ascii="仿宋" w:eastAsia="仿宋" w:hAnsi="仿宋" w:hint="eastAsia"/>
          <w:sz w:val="32"/>
          <w:szCs w:val="32"/>
        </w:rPr>
        <w:t>万元增加到</w:t>
      </w:r>
      <w:r>
        <w:rPr>
          <w:rFonts w:ascii="仿宋" w:eastAsia="仿宋" w:hAnsi="仿宋" w:hint="eastAsia"/>
          <w:sz w:val="32"/>
          <w:szCs w:val="32"/>
        </w:rPr>
        <w:t>371</w:t>
      </w:r>
      <w:r w:rsidRPr="004A4B42">
        <w:rPr>
          <w:rFonts w:ascii="仿宋" w:eastAsia="仿宋" w:hAnsi="仿宋" w:hint="eastAsia"/>
          <w:sz w:val="32"/>
          <w:szCs w:val="32"/>
        </w:rPr>
        <w:t>万元</w:t>
      </w:r>
      <w:r>
        <w:rPr>
          <w:rFonts w:ascii="仿宋" w:eastAsia="仿宋" w:hAnsi="仿宋" w:hint="eastAsia"/>
          <w:sz w:val="32"/>
          <w:szCs w:val="32"/>
        </w:rPr>
        <w:t>，</w:t>
      </w:r>
      <w:r w:rsidRPr="00204C7E">
        <w:rPr>
          <w:rFonts w:ascii="仿宋" w:eastAsia="仿宋" w:hAnsi="仿宋" w:hint="eastAsia"/>
          <w:sz w:val="32"/>
          <w:szCs w:val="32"/>
        </w:rPr>
        <w:t>专业建设卓有成效。主动适应区域经济社会发展需求，不断优化专业布局，改善专业结构。2020年新增经济学、人工智能、体育经济与管理3个新专业。新增会计学、金融学、计算机科学与技术3个国家级一流本科专业建设点，新增税收学、英语、电子信息工程、房地产开发与管理、市场营销、国际商务、行政管理等7个湖南省一流本科专业建设点。自2019年4月教育部启动“双万计划”以来，我校共计获批5个国家级一流专业建设点，10个省级一流专业建设点。国家一流本科专业数量在省属学院中位居第2位。</w:t>
      </w:r>
      <w:r w:rsidRPr="004A4B42">
        <w:rPr>
          <w:rFonts w:ascii="仿宋" w:eastAsia="仿宋" w:hAnsi="仿宋" w:hint="eastAsia"/>
          <w:sz w:val="32"/>
          <w:szCs w:val="32"/>
        </w:rPr>
        <w:t>实习经费由</w:t>
      </w:r>
      <w:r>
        <w:rPr>
          <w:rFonts w:ascii="仿宋" w:eastAsia="仿宋" w:hAnsi="仿宋" w:hint="eastAsia"/>
          <w:sz w:val="32"/>
          <w:szCs w:val="32"/>
        </w:rPr>
        <w:t>227.4</w:t>
      </w:r>
      <w:r w:rsidRPr="004A4B42">
        <w:rPr>
          <w:rFonts w:ascii="仿宋" w:eastAsia="仿宋" w:hAnsi="仿宋" w:hint="eastAsia"/>
          <w:sz w:val="32"/>
          <w:szCs w:val="32"/>
        </w:rPr>
        <w:t>万元增加到</w:t>
      </w:r>
      <w:r>
        <w:rPr>
          <w:rFonts w:ascii="仿宋" w:eastAsia="仿宋" w:hAnsi="仿宋" w:hint="eastAsia"/>
          <w:sz w:val="32"/>
          <w:szCs w:val="32"/>
        </w:rPr>
        <w:t>259.73</w:t>
      </w:r>
      <w:r w:rsidRPr="004A4B42">
        <w:rPr>
          <w:rFonts w:ascii="仿宋" w:eastAsia="仿宋" w:hAnsi="仿宋" w:hint="eastAsia"/>
          <w:sz w:val="32"/>
          <w:szCs w:val="32"/>
        </w:rPr>
        <w:t>万元</w:t>
      </w:r>
      <w:r w:rsidRPr="004363B8">
        <w:rPr>
          <w:rFonts w:ascii="仿宋" w:eastAsia="仿宋" w:hAnsi="仿宋" w:hint="eastAsia"/>
          <w:sz w:val="32"/>
          <w:szCs w:val="32"/>
        </w:rPr>
        <w:t>；</w:t>
      </w:r>
      <w:r w:rsidRPr="00204C7E">
        <w:rPr>
          <w:rFonts w:ascii="仿宋" w:eastAsia="仿宋" w:hAnsi="仿宋" w:hint="eastAsia"/>
          <w:sz w:val="32"/>
          <w:szCs w:val="32"/>
        </w:rPr>
        <w:t>学校组织辅导员暑期培训，49人参加；组织高校教师网络培训，18人参加；组织“金课”建设专题网络</w:t>
      </w:r>
      <w:r w:rsidRPr="00204C7E">
        <w:rPr>
          <w:rFonts w:ascii="仿宋" w:eastAsia="仿宋" w:hAnsi="仿宋" w:hint="eastAsia"/>
          <w:sz w:val="32"/>
          <w:szCs w:val="32"/>
        </w:rPr>
        <w:lastRenderedPageBreak/>
        <w:t>培训，48人参加；组织学科教学与育人思政专题网络培训，12人参加；组织马工程重点教材任课教师全员培训，18人参加；组织湖南财政经济学院网中网财务共享中级培训，60人参加；组织全国高校辅导员网络培训示范班，7人参加；还有访问学者培训2人，等等。以上教职工培训项目，我们实施跟踪管理，按时、按质完成工作任务，严格依据资金内部控制、支出审批、财务核算等制度，资金管理规范，严格按照资金预算情况使用资金，无浪费行为，无资金违规使用情况，无挤占挪用或套取资金等现象。厚生人才工程预算安排了998万元遴选了一批学科领军人才（第一层次）学科带头人（第二层次）和青年英才（第三层次）等。</w:t>
      </w:r>
      <w:r w:rsidRPr="00F22FFF">
        <w:rPr>
          <w:rFonts w:ascii="仿宋" w:eastAsia="仿宋" w:hAnsi="仿宋" w:hint="eastAsia"/>
          <w:sz w:val="32"/>
          <w:szCs w:val="32"/>
        </w:rPr>
        <w:t>多渠道引进高层次人才。破解政策难题，创新人才引进模式，在学校编制紧张的情况下，通过签订无固定期限合同、给予“超国民”待遇等方式引进优秀博士来校工作。出台学校非事业编博士引进待遇和管理相关制度，在科研启动费、基本课时工作量、科研奖励系数等方面给予倾斜。本年度学校新进教师138人，其中博士教师88人（校编教师70人），硕士教师5人，辅导员4人，行政人员8人，劳务派遣行政干事33人。学校博士教师数量由两年前的不足100人目前已增长至322人；聘请校外专家、兼职（客座）教授12人。初步形成为一支结构日趋合理、素质日益提高的教师和管理干部队伍，经管类博士教师数量在全省高校中居于领先水平。</w:t>
      </w:r>
    </w:p>
    <w:p w:rsidR="00993675" w:rsidRDefault="00993675" w:rsidP="00993675">
      <w:pPr>
        <w:spacing w:line="360" w:lineRule="auto"/>
        <w:ind w:leftChars="-5" w:left="-10" w:firstLineChars="200" w:firstLine="640"/>
        <w:rPr>
          <w:rFonts w:ascii="仿宋" w:eastAsia="仿宋" w:hAnsi="仿宋"/>
          <w:color w:val="000000" w:themeColor="text1"/>
          <w:sz w:val="32"/>
          <w:szCs w:val="32"/>
        </w:rPr>
      </w:pPr>
      <w:r w:rsidRPr="002F2385">
        <w:rPr>
          <w:rFonts w:ascii="仿宋" w:eastAsia="仿宋" w:hAnsi="仿宋" w:hint="eastAsia"/>
          <w:sz w:val="32"/>
          <w:szCs w:val="32"/>
        </w:rPr>
        <w:t>2020年，学校编制数</w:t>
      </w:r>
      <w:r w:rsidRPr="006175C6">
        <w:rPr>
          <w:rFonts w:ascii="仿宋" w:eastAsia="仿宋" w:hAnsi="仿宋" w:hint="eastAsia"/>
          <w:sz w:val="32"/>
          <w:szCs w:val="32"/>
        </w:rPr>
        <w:t>788</w:t>
      </w:r>
      <w:r w:rsidRPr="002F2385">
        <w:rPr>
          <w:rFonts w:ascii="仿宋" w:eastAsia="仿宋" w:hAnsi="仿宋" w:hint="eastAsia"/>
          <w:sz w:val="32"/>
          <w:szCs w:val="32"/>
        </w:rPr>
        <w:t>人，2020年年未总职工人数</w:t>
      </w:r>
      <w:r w:rsidRPr="006175C6">
        <w:rPr>
          <w:rFonts w:ascii="仿宋" w:eastAsia="仿宋" w:hAnsi="仿宋"/>
          <w:sz w:val="32"/>
          <w:szCs w:val="32"/>
        </w:rPr>
        <w:t>1</w:t>
      </w:r>
      <w:r>
        <w:rPr>
          <w:rFonts w:ascii="仿宋" w:eastAsia="仿宋" w:hAnsi="仿宋" w:hint="eastAsia"/>
          <w:sz w:val="32"/>
          <w:szCs w:val="32"/>
        </w:rPr>
        <w:t>132</w:t>
      </w:r>
      <w:r w:rsidRPr="002F2385">
        <w:rPr>
          <w:rFonts w:ascii="仿宋" w:eastAsia="仿宋" w:hAnsi="仿宋" w:hint="eastAsia"/>
          <w:sz w:val="32"/>
          <w:szCs w:val="32"/>
        </w:rPr>
        <w:t>人，其中在职员工</w:t>
      </w:r>
      <w:r w:rsidRPr="006175C6">
        <w:rPr>
          <w:rFonts w:ascii="仿宋" w:eastAsia="仿宋" w:hAnsi="仿宋"/>
          <w:sz w:val="32"/>
          <w:szCs w:val="32"/>
        </w:rPr>
        <w:t>8</w:t>
      </w:r>
      <w:r>
        <w:rPr>
          <w:rFonts w:ascii="仿宋" w:eastAsia="仿宋" w:hAnsi="仿宋" w:hint="eastAsia"/>
          <w:sz w:val="32"/>
          <w:szCs w:val="32"/>
        </w:rPr>
        <w:t>39</w:t>
      </w:r>
      <w:r w:rsidRPr="002F2385">
        <w:rPr>
          <w:rFonts w:ascii="仿宋" w:eastAsia="仿宋" w:hAnsi="仿宋"/>
          <w:sz w:val="32"/>
          <w:szCs w:val="32"/>
        </w:rPr>
        <w:t>人,</w:t>
      </w:r>
      <w:r>
        <w:rPr>
          <w:rFonts w:ascii="仿宋" w:eastAsia="仿宋" w:hAnsi="仿宋" w:hint="eastAsia"/>
          <w:sz w:val="32"/>
          <w:szCs w:val="32"/>
        </w:rPr>
        <w:t>劳务派遣78人，</w:t>
      </w:r>
      <w:r w:rsidRPr="002F2385">
        <w:rPr>
          <w:rFonts w:ascii="仿宋" w:eastAsia="仿宋" w:hAnsi="仿宋" w:hint="eastAsia"/>
          <w:sz w:val="32"/>
          <w:szCs w:val="32"/>
        </w:rPr>
        <w:t>离休人员</w:t>
      </w:r>
      <w:r>
        <w:rPr>
          <w:rFonts w:ascii="仿宋" w:eastAsia="仿宋" w:hAnsi="仿宋" w:hint="eastAsia"/>
          <w:sz w:val="32"/>
          <w:szCs w:val="32"/>
        </w:rPr>
        <w:t>5</w:t>
      </w:r>
      <w:r w:rsidRPr="002F2385">
        <w:rPr>
          <w:rFonts w:ascii="仿宋" w:eastAsia="仿宋" w:hAnsi="仿宋" w:hint="eastAsia"/>
          <w:sz w:val="32"/>
          <w:szCs w:val="32"/>
        </w:rPr>
        <w:t>人，退休人员</w:t>
      </w:r>
      <w:r w:rsidRPr="006175C6">
        <w:rPr>
          <w:rFonts w:ascii="仿宋" w:eastAsia="仿宋" w:hAnsi="仿宋"/>
          <w:sz w:val="32"/>
          <w:szCs w:val="32"/>
        </w:rPr>
        <w:t>21</w:t>
      </w:r>
      <w:r>
        <w:rPr>
          <w:rFonts w:ascii="仿宋" w:eastAsia="仿宋" w:hAnsi="仿宋" w:hint="eastAsia"/>
          <w:sz w:val="32"/>
          <w:szCs w:val="32"/>
        </w:rPr>
        <w:t>0</w:t>
      </w:r>
      <w:r w:rsidRPr="002F2385">
        <w:rPr>
          <w:rFonts w:ascii="仿宋" w:eastAsia="仿宋" w:hAnsi="仿宋" w:hint="eastAsia"/>
          <w:sz w:val="32"/>
          <w:szCs w:val="32"/>
        </w:rPr>
        <w:t>人。</w:t>
      </w:r>
      <w:r>
        <w:rPr>
          <w:rFonts w:ascii="仿宋" w:eastAsia="仿宋" w:hAnsi="仿宋" w:hint="eastAsia"/>
          <w:sz w:val="32"/>
          <w:szCs w:val="32"/>
        </w:rPr>
        <w:t>2020年</w:t>
      </w:r>
      <w:r>
        <w:rPr>
          <w:rFonts w:ascii="仿宋" w:eastAsia="仿宋" w:hAnsi="仿宋" w:hint="eastAsia"/>
          <w:color w:val="000000" w:themeColor="text1"/>
          <w:sz w:val="32"/>
          <w:szCs w:val="32"/>
        </w:rPr>
        <w:t>人员支出20,</w:t>
      </w:r>
      <w:r>
        <w:rPr>
          <w:rFonts w:ascii="仿宋" w:eastAsia="仿宋" w:hAnsi="仿宋"/>
          <w:color w:val="000000" w:themeColor="text1"/>
          <w:sz w:val="32"/>
          <w:szCs w:val="32"/>
        </w:rPr>
        <w:t>418</w:t>
      </w:r>
      <w:r>
        <w:rPr>
          <w:rFonts w:ascii="仿宋" w:eastAsia="仿宋" w:hAnsi="仿宋" w:hint="eastAsia"/>
          <w:color w:val="000000" w:themeColor="text1"/>
          <w:sz w:val="32"/>
          <w:szCs w:val="32"/>
        </w:rPr>
        <w:t>.</w:t>
      </w:r>
      <w:r>
        <w:rPr>
          <w:rFonts w:ascii="仿宋" w:eastAsia="仿宋" w:hAnsi="仿宋"/>
          <w:color w:val="000000" w:themeColor="text1"/>
          <w:sz w:val="32"/>
          <w:szCs w:val="32"/>
        </w:rPr>
        <w:t>83</w:t>
      </w:r>
      <w:r>
        <w:rPr>
          <w:rFonts w:ascii="仿宋" w:eastAsia="仿宋" w:hAnsi="仿宋" w:hint="eastAsia"/>
          <w:color w:val="000000" w:themeColor="text1"/>
          <w:sz w:val="32"/>
          <w:szCs w:val="32"/>
        </w:rPr>
        <w:t>万元。其中：职工工资支出13,</w:t>
      </w:r>
      <w:r>
        <w:rPr>
          <w:rFonts w:ascii="仿宋" w:eastAsia="仿宋" w:hAnsi="仿宋"/>
          <w:color w:val="000000" w:themeColor="text1"/>
          <w:sz w:val="32"/>
          <w:szCs w:val="32"/>
        </w:rPr>
        <w:t>022</w:t>
      </w:r>
      <w:r>
        <w:rPr>
          <w:rFonts w:ascii="仿宋" w:eastAsia="仿宋" w:hAnsi="仿宋" w:hint="eastAsia"/>
          <w:color w:val="000000" w:themeColor="text1"/>
          <w:sz w:val="32"/>
          <w:szCs w:val="32"/>
        </w:rPr>
        <w:t>.</w:t>
      </w:r>
      <w:r>
        <w:rPr>
          <w:rFonts w:ascii="仿宋" w:eastAsia="仿宋" w:hAnsi="仿宋"/>
          <w:color w:val="000000" w:themeColor="text1"/>
          <w:sz w:val="32"/>
          <w:szCs w:val="32"/>
        </w:rPr>
        <w:t>71</w:t>
      </w:r>
      <w:r>
        <w:rPr>
          <w:rFonts w:ascii="仿宋" w:eastAsia="仿宋" w:hAnsi="仿宋" w:hint="eastAsia"/>
          <w:color w:val="000000" w:themeColor="text1"/>
          <w:sz w:val="32"/>
          <w:szCs w:val="32"/>
        </w:rPr>
        <w:t>万元；综治奖和高校文明奖1,635.66万元；退休工资发生额1,912.90万元(含退休人员差额补助530.84万元)，离休费100.02万元；其他工资支出545.78万元，主要是未入编人员工资；公积金支出1,092.44万元；社会保障支出1,731.81万元；其他对个人和家庭的补助377.51万元（含物业补贴336.61万元）。</w:t>
      </w:r>
    </w:p>
    <w:p w:rsidR="00993675" w:rsidRPr="002B5868" w:rsidRDefault="00993675" w:rsidP="00993675">
      <w:pPr>
        <w:ind w:firstLineChars="200" w:firstLine="640"/>
        <w:rPr>
          <w:rFonts w:ascii="仿宋" w:eastAsia="仿宋" w:hAnsi="仿宋"/>
          <w:sz w:val="32"/>
          <w:szCs w:val="32"/>
        </w:rPr>
      </w:pPr>
      <w:r w:rsidRPr="002B5868">
        <w:rPr>
          <w:rFonts w:ascii="仿宋" w:eastAsia="仿宋" w:hAnsi="仿宋" w:hint="eastAsia"/>
          <w:sz w:val="32"/>
          <w:szCs w:val="32"/>
        </w:rPr>
        <w:t>学校根据事业的发展需要，严格控制人员的进入，并严格执行省人社</w:t>
      </w:r>
      <w:r w:rsidRPr="002B5868">
        <w:rPr>
          <w:rFonts w:ascii="仿宋" w:eastAsia="仿宋" w:hAnsi="仿宋" w:hint="eastAsia"/>
          <w:sz w:val="32"/>
          <w:szCs w:val="32"/>
        </w:rPr>
        <w:lastRenderedPageBreak/>
        <w:t>厅、省财政厅批复的绩效工资控制数。</w:t>
      </w:r>
    </w:p>
    <w:p w:rsidR="00993675" w:rsidRPr="0030513E" w:rsidRDefault="00993675" w:rsidP="00993675">
      <w:pPr>
        <w:ind w:firstLineChars="200" w:firstLine="643"/>
        <w:rPr>
          <w:rFonts w:ascii="仿宋" w:eastAsia="仿宋" w:hAnsi="仿宋"/>
          <w:b/>
          <w:bCs/>
          <w:sz w:val="32"/>
          <w:szCs w:val="32"/>
        </w:rPr>
      </w:pPr>
      <w:r w:rsidRPr="0030513E">
        <w:rPr>
          <w:rFonts w:ascii="仿宋" w:eastAsia="仿宋" w:hAnsi="仿宋" w:hint="eastAsia"/>
          <w:b/>
          <w:bCs/>
          <w:sz w:val="32"/>
          <w:szCs w:val="32"/>
        </w:rPr>
        <w:t>（</w:t>
      </w:r>
      <w:r>
        <w:rPr>
          <w:rFonts w:ascii="仿宋" w:eastAsia="仿宋" w:hAnsi="仿宋" w:hint="eastAsia"/>
          <w:b/>
          <w:bCs/>
          <w:sz w:val="32"/>
          <w:szCs w:val="32"/>
        </w:rPr>
        <w:t>二</w:t>
      </w:r>
      <w:r w:rsidRPr="0030513E">
        <w:rPr>
          <w:rFonts w:ascii="仿宋" w:eastAsia="仿宋" w:hAnsi="仿宋" w:hint="eastAsia"/>
          <w:b/>
          <w:bCs/>
          <w:sz w:val="32"/>
          <w:szCs w:val="32"/>
        </w:rPr>
        <w:t>）项目支出情况</w:t>
      </w:r>
    </w:p>
    <w:p w:rsidR="00993675" w:rsidRDefault="00993675" w:rsidP="00993675">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2020年运转保障支出1</w:t>
      </w:r>
      <w:r>
        <w:rPr>
          <w:rFonts w:ascii="仿宋" w:eastAsia="仿宋" w:hAnsi="仿宋"/>
          <w:color w:val="000000" w:themeColor="text1"/>
          <w:sz w:val="32"/>
          <w:szCs w:val="32"/>
        </w:rPr>
        <w:t>0</w:t>
      </w:r>
      <w:r>
        <w:rPr>
          <w:rFonts w:ascii="仿宋" w:eastAsia="仿宋" w:hAnsi="仿宋" w:hint="eastAsia"/>
          <w:color w:val="000000" w:themeColor="text1"/>
          <w:sz w:val="32"/>
          <w:szCs w:val="32"/>
        </w:rPr>
        <w:t>,</w:t>
      </w:r>
      <w:r>
        <w:rPr>
          <w:rFonts w:ascii="仿宋" w:eastAsia="仿宋" w:hAnsi="仿宋"/>
          <w:color w:val="000000" w:themeColor="text1"/>
          <w:sz w:val="32"/>
          <w:szCs w:val="32"/>
        </w:rPr>
        <w:t>285</w:t>
      </w:r>
      <w:r>
        <w:rPr>
          <w:rFonts w:ascii="仿宋" w:eastAsia="仿宋" w:hAnsi="仿宋" w:hint="eastAsia"/>
          <w:color w:val="000000" w:themeColor="text1"/>
          <w:sz w:val="32"/>
          <w:szCs w:val="32"/>
        </w:rPr>
        <w:t>.</w:t>
      </w:r>
      <w:r>
        <w:rPr>
          <w:rFonts w:ascii="仿宋" w:eastAsia="仿宋" w:hAnsi="仿宋"/>
          <w:color w:val="000000" w:themeColor="text1"/>
          <w:sz w:val="32"/>
          <w:szCs w:val="32"/>
        </w:rPr>
        <w:t>13</w:t>
      </w:r>
      <w:r>
        <w:rPr>
          <w:rFonts w:ascii="仿宋" w:eastAsia="仿宋" w:hAnsi="仿宋" w:hint="eastAsia"/>
          <w:color w:val="000000" w:themeColor="text1"/>
          <w:sz w:val="32"/>
          <w:szCs w:val="32"/>
        </w:rPr>
        <w:t>万元。其中：教学事务支出3,</w:t>
      </w:r>
      <w:r>
        <w:rPr>
          <w:rFonts w:ascii="仿宋" w:eastAsia="仿宋" w:hAnsi="仿宋"/>
          <w:color w:val="000000" w:themeColor="text1"/>
          <w:sz w:val="32"/>
          <w:szCs w:val="32"/>
        </w:rPr>
        <w:t>555</w:t>
      </w:r>
      <w:r>
        <w:rPr>
          <w:rFonts w:ascii="仿宋" w:eastAsia="仿宋" w:hAnsi="仿宋" w:hint="eastAsia"/>
          <w:color w:val="000000" w:themeColor="text1"/>
          <w:sz w:val="32"/>
          <w:szCs w:val="32"/>
        </w:rPr>
        <w:t>.</w:t>
      </w:r>
      <w:r>
        <w:rPr>
          <w:rFonts w:ascii="仿宋" w:eastAsia="仿宋" w:hAnsi="仿宋"/>
          <w:color w:val="000000" w:themeColor="text1"/>
          <w:sz w:val="32"/>
          <w:szCs w:val="32"/>
        </w:rPr>
        <w:t>61</w:t>
      </w:r>
      <w:r>
        <w:rPr>
          <w:rFonts w:ascii="仿宋" w:eastAsia="仿宋" w:hAnsi="仿宋" w:hint="eastAsia"/>
          <w:color w:val="000000" w:themeColor="text1"/>
          <w:sz w:val="32"/>
          <w:szCs w:val="32"/>
        </w:rPr>
        <w:t>万元，减少</w:t>
      </w:r>
      <w:r>
        <w:rPr>
          <w:rFonts w:ascii="仿宋" w:eastAsia="仿宋" w:hAnsi="仿宋"/>
          <w:color w:val="000000" w:themeColor="text1"/>
          <w:sz w:val="32"/>
          <w:szCs w:val="32"/>
        </w:rPr>
        <w:t>177</w:t>
      </w:r>
      <w:r>
        <w:rPr>
          <w:rFonts w:ascii="仿宋" w:eastAsia="仿宋" w:hAnsi="仿宋" w:hint="eastAsia"/>
          <w:color w:val="000000" w:themeColor="text1"/>
          <w:sz w:val="32"/>
          <w:szCs w:val="32"/>
        </w:rPr>
        <w:t>.</w:t>
      </w:r>
      <w:r>
        <w:rPr>
          <w:rFonts w:ascii="仿宋" w:eastAsia="仿宋" w:hAnsi="仿宋"/>
          <w:color w:val="000000" w:themeColor="text1"/>
          <w:sz w:val="32"/>
          <w:szCs w:val="32"/>
        </w:rPr>
        <w:t>84</w:t>
      </w:r>
      <w:r>
        <w:rPr>
          <w:rFonts w:ascii="仿宋" w:eastAsia="仿宋" w:hAnsi="仿宋" w:hint="eastAsia"/>
          <w:color w:val="000000" w:themeColor="text1"/>
          <w:sz w:val="32"/>
          <w:szCs w:val="32"/>
        </w:rPr>
        <w:t>万元；学生事务支出1,990.01万元，增加</w:t>
      </w:r>
      <w:r>
        <w:rPr>
          <w:rFonts w:ascii="仿宋" w:eastAsia="仿宋" w:hAnsi="仿宋"/>
          <w:color w:val="000000" w:themeColor="text1"/>
          <w:sz w:val="32"/>
          <w:szCs w:val="32"/>
        </w:rPr>
        <w:t>257</w:t>
      </w:r>
      <w:r>
        <w:rPr>
          <w:rFonts w:ascii="仿宋" w:eastAsia="仿宋" w:hAnsi="仿宋" w:hint="eastAsia"/>
          <w:color w:val="000000" w:themeColor="text1"/>
          <w:sz w:val="32"/>
          <w:szCs w:val="32"/>
        </w:rPr>
        <w:t>.</w:t>
      </w:r>
      <w:r>
        <w:rPr>
          <w:rFonts w:ascii="仿宋" w:eastAsia="仿宋" w:hAnsi="仿宋"/>
          <w:color w:val="000000" w:themeColor="text1"/>
          <w:sz w:val="32"/>
          <w:szCs w:val="32"/>
        </w:rPr>
        <w:t>59</w:t>
      </w:r>
      <w:r>
        <w:rPr>
          <w:rFonts w:ascii="仿宋" w:eastAsia="仿宋" w:hAnsi="仿宋" w:hint="eastAsia"/>
          <w:color w:val="000000" w:themeColor="text1"/>
          <w:sz w:val="32"/>
          <w:szCs w:val="32"/>
        </w:rPr>
        <w:t>万元；行政管理支出</w:t>
      </w:r>
      <w:r>
        <w:rPr>
          <w:rFonts w:ascii="仿宋" w:eastAsia="仿宋" w:hAnsi="仿宋"/>
          <w:color w:val="000000" w:themeColor="text1"/>
          <w:sz w:val="32"/>
          <w:szCs w:val="32"/>
        </w:rPr>
        <w:t>674</w:t>
      </w:r>
      <w:r>
        <w:rPr>
          <w:rFonts w:ascii="仿宋" w:eastAsia="仿宋" w:hAnsi="仿宋" w:hint="eastAsia"/>
          <w:color w:val="000000" w:themeColor="text1"/>
          <w:sz w:val="32"/>
          <w:szCs w:val="32"/>
        </w:rPr>
        <w:t>.</w:t>
      </w:r>
      <w:r>
        <w:rPr>
          <w:rFonts w:ascii="仿宋" w:eastAsia="仿宋" w:hAnsi="仿宋"/>
          <w:color w:val="000000" w:themeColor="text1"/>
          <w:sz w:val="32"/>
          <w:szCs w:val="32"/>
        </w:rPr>
        <w:t>7</w:t>
      </w:r>
      <w:r>
        <w:rPr>
          <w:rFonts w:ascii="仿宋" w:eastAsia="仿宋" w:hAnsi="仿宋" w:hint="eastAsia"/>
          <w:color w:val="000000" w:themeColor="text1"/>
          <w:sz w:val="32"/>
          <w:szCs w:val="32"/>
        </w:rPr>
        <w:t>9万元，减少</w:t>
      </w:r>
      <w:r>
        <w:rPr>
          <w:rFonts w:ascii="仿宋" w:eastAsia="仿宋" w:hAnsi="仿宋"/>
          <w:color w:val="000000" w:themeColor="text1"/>
          <w:sz w:val="32"/>
          <w:szCs w:val="32"/>
        </w:rPr>
        <w:t>271</w:t>
      </w:r>
      <w:r>
        <w:rPr>
          <w:rFonts w:ascii="仿宋" w:eastAsia="仿宋" w:hAnsi="仿宋" w:hint="eastAsia"/>
          <w:color w:val="000000" w:themeColor="text1"/>
          <w:sz w:val="32"/>
          <w:szCs w:val="32"/>
        </w:rPr>
        <w:t>.1</w:t>
      </w:r>
      <w:r>
        <w:rPr>
          <w:rFonts w:ascii="仿宋" w:eastAsia="仿宋" w:hAnsi="仿宋"/>
          <w:color w:val="000000" w:themeColor="text1"/>
          <w:sz w:val="32"/>
          <w:szCs w:val="32"/>
        </w:rPr>
        <w:t>5</w:t>
      </w:r>
      <w:r>
        <w:rPr>
          <w:rFonts w:ascii="仿宋" w:eastAsia="仿宋" w:hAnsi="仿宋" w:hint="eastAsia"/>
          <w:color w:val="000000" w:themeColor="text1"/>
          <w:sz w:val="32"/>
          <w:szCs w:val="32"/>
        </w:rPr>
        <w:t>万元；后勤保障支出4,0</w:t>
      </w:r>
      <w:r>
        <w:rPr>
          <w:rFonts w:ascii="仿宋" w:eastAsia="仿宋" w:hAnsi="仿宋"/>
          <w:color w:val="000000" w:themeColor="text1"/>
          <w:sz w:val="32"/>
          <w:szCs w:val="32"/>
        </w:rPr>
        <w:t>64</w:t>
      </w:r>
      <w:r>
        <w:rPr>
          <w:rFonts w:ascii="仿宋" w:eastAsia="仿宋" w:hAnsi="仿宋" w:hint="eastAsia"/>
          <w:color w:val="000000" w:themeColor="text1"/>
          <w:sz w:val="32"/>
          <w:szCs w:val="32"/>
        </w:rPr>
        <w:t>.</w:t>
      </w:r>
      <w:r>
        <w:rPr>
          <w:rFonts w:ascii="仿宋" w:eastAsia="仿宋" w:hAnsi="仿宋"/>
          <w:color w:val="000000" w:themeColor="text1"/>
          <w:sz w:val="32"/>
          <w:szCs w:val="32"/>
        </w:rPr>
        <w:t>72</w:t>
      </w:r>
      <w:r>
        <w:rPr>
          <w:rFonts w:ascii="仿宋" w:eastAsia="仿宋" w:hAnsi="仿宋" w:hint="eastAsia"/>
          <w:color w:val="000000" w:themeColor="text1"/>
          <w:sz w:val="32"/>
          <w:szCs w:val="32"/>
        </w:rPr>
        <w:t>万元，增加</w:t>
      </w:r>
      <w:r>
        <w:rPr>
          <w:rFonts w:ascii="仿宋" w:eastAsia="仿宋" w:hAnsi="仿宋"/>
          <w:color w:val="000000" w:themeColor="text1"/>
          <w:sz w:val="32"/>
          <w:szCs w:val="32"/>
        </w:rPr>
        <w:t>2</w:t>
      </w:r>
      <w:r>
        <w:rPr>
          <w:rFonts w:ascii="仿宋" w:eastAsia="仿宋" w:hAnsi="仿宋" w:hint="eastAsia"/>
          <w:color w:val="000000" w:themeColor="text1"/>
          <w:sz w:val="32"/>
          <w:szCs w:val="32"/>
        </w:rPr>
        <w:t>,</w:t>
      </w:r>
      <w:r>
        <w:rPr>
          <w:rFonts w:ascii="仿宋" w:eastAsia="仿宋" w:hAnsi="仿宋"/>
          <w:color w:val="000000" w:themeColor="text1"/>
          <w:sz w:val="32"/>
          <w:szCs w:val="32"/>
        </w:rPr>
        <w:t>099</w:t>
      </w:r>
      <w:r>
        <w:rPr>
          <w:rFonts w:ascii="仿宋" w:eastAsia="仿宋" w:hAnsi="仿宋" w:hint="eastAsia"/>
          <w:color w:val="000000" w:themeColor="text1"/>
          <w:sz w:val="32"/>
          <w:szCs w:val="32"/>
        </w:rPr>
        <w:t>.9</w:t>
      </w:r>
      <w:r>
        <w:rPr>
          <w:rFonts w:ascii="仿宋" w:eastAsia="仿宋" w:hAnsi="仿宋"/>
          <w:color w:val="000000" w:themeColor="text1"/>
          <w:sz w:val="32"/>
          <w:szCs w:val="32"/>
        </w:rPr>
        <w:t>7</w:t>
      </w:r>
      <w:r>
        <w:rPr>
          <w:rFonts w:ascii="仿宋" w:eastAsia="仿宋" w:hAnsi="仿宋" w:hint="eastAsia"/>
          <w:color w:val="000000" w:themeColor="text1"/>
          <w:sz w:val="32"/>
          <w:szCs w:val="32"/>
        </w:rPr>
        <w:t>万元；其中一卡通商户经营结算支出2,068.27万元。</w:t>
      </w:r>
    </w:p>
    <w:p w:rsidR="00993675" w:rsidRDefault="00993675" w:rsidP="00993675">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2020年发展建设支出</w:t>
      </w:r>
      <w:r>
        <w:rPr>
          <w:rFonts w:ascii="仿宋" w:eastAsia="仿宋" w:hAnsi="仿宋"/>
          <w:color w:val="000000" w:themeColor="text1"/>
          <w:sz w:val="32"/>
          <w:szCs w:val="32"/>
        </w:rPr>
        <w:t>8</w:t>
      </w:r>
      <w:r>
        <w:rPr>
          <w:rFonts w:ascii="仿宋" w:eastAsia="仿宋" w:hAnsi="仿宋" w:hint="eastAsia"/>
          <w:color w:val="000000" w:themeColor="text1"/>
          <w:sz w:val="32"/>
          <w:szCs w:val="32"/>
        </w:rPr>
        <w:t>,</w:t>
      </w:r>
      <w:r>
        <w:rPr>
          <w:rFonts w:ascii="仿宋" w:eastAsia="仿宋" w:hAnsi="仿宋"/>
          <w:color w:val="000000" w:themeColor="text1"/>
          <w:sz w:val="32"/>
          <w:szCs w:val="32"/>
        </w:rPr>
        <w:t>904</w:t>
      </w:r>
      <w:r>
        <w:rPr>
          <w:rFonts w:ascii="仿宋" w:eastAsia="仿宋" w:hAnsi="仿宋" w:hint="eastAsia"/>
          <w:color w:val="000000" w:themeColor="text1"/>
          <w:sz w:val="32"/>
          <w:szCs w:val="32"/>
        </w:rPr>
        <w:t>.2</w:t>
      </w:r>
      <w:r>
        <w:rPr>
          <w:rFonts w:ascii="仿宋" w:eastAsia="仿宋" w:hAnsi="仿宋"/>
          <w:color w:val="000000" w:themeColor="text1"/>
          <w:sz w:val="32"/>
          <w:szCs w:val="32"/>
        </w:rPr>
        <w:t>2</w:t>
      </w:r>
      <w:r>
        <w:rPr>
          <w:rFonts w:ascii="仿宋" w:eastAsia="仿宋" w:hAnsi="仿宋" w:hint="eastAsia"/>
          <w:color w:val="000000" w:themeColor="text1"/>
          <w:sz w:val="32"/>
          <w:szCs w:val="32"/>
        </w:rPr>
        <w:t>万元。其中：科研事业支出3,17</w:t>
      </w:r>
      <w:r>
        <w:rPr>
          <w:rFonts w:ascii="仿宋" w:eastAsia="仿宋" w:hAnsi="仿宋"/>
          <w:color w:val="000000" w:themeColor="text1"/>
          <w:sz w:val="32"/>
          <w:szCs w:val="32"/>
        </w:rPr>
        <w:t>8</w:t>
      </w:r>
      <w:r>
        <w:rPr>
          <w:rFonts w:ascii="仿宋" w:eastAsia="仿宋" w:hAnsi="仿宋" w:hint="eastAsia"/>
          <w:color w:val="000000" w:themeColor="text1"/>
          <w:sz w:val="32"/>
          <w:szCs w:val="32"/>
        </w:rPr>
        <w:t>.</w:t>
      </w:r>
      <w:r>
        <w:rPr>
          <w:rFonts w:ascii="仿宋" w:eastAsia="仿宋" w:hAnsi="仿宋"/>
          <w:color w:val="000000" w:themeColor="text1"/>
          <w:sz w:val="32"/>
          <w:szCs w:val="32"/>
        </w:rPr>
        <w:t>72</w:t>
      </w:r>
      <w:r>
        <w:rPr>
          <w:rFonts w:ascii="仿宋" w:eastAsia="仿宋" w:hAnsi="仿宋" w:hint="eastAsia"/>
          <w:color w:val="000000" w:themeColor="text1"/>
          <w:sz w:val="32"/>
          <w:szCs w:val="32"/>
        </w:rPr>
        <w:t>万元（含地理所科研项目支出2,213.53万元），增加</w:t>
      </w:r>
      <w:r>
        <w:rPr>
          <w:rFonts w:ascii="仿宋" w:eastAsia="仿宋" w:hAnsi="仿宋"/>
          <w:color w:val="000000" w:themeColor="text1"/>
          <w:sz w:val="32"/>
          <w:szCs w:val="32"/>
        </w:rPr>
        <w:t>1</w:t>
      </w:r>
      <w:r>
        <w:rPr>
          <w:rFonts w:ascii="仿宋" w:eastAsia="仿宋" w:hAnsi="仿宋" w:hint="eastAsia"/>
          <w:color w:val="000000" w:themeColor="text1"/>
          <w:sz w:val="32"/>
          <w:szCs w:val="32"/>
        </w:rPr>
        <w:t>,</w:t>
      </w:r>
      <w:r>
        <w:rPr>
          <w:rFonts w:ascii="仿宋" w:eastAsia="仿宋" w:hAnsi="仿宋"/>
          <w:color w:val="000000" w:themeColor="text1"/>
          <w:sz w:val="32"/>
          <w:szCs w:val="32"/>
        </w:rPr>
        <w:t>459</w:t>
      </w:r>
      <w:r>
        <w:rPr>
          <w:rFonts w:ascii="仿宋" w:eastAsia="仿宋" w:hAnsi="仿宋" w:hint="eastAsia"/>
          <w:color w:val="000000" w:themeColor="text1"/>
          <w:sz w:val="32"/>
          <w:szCs w:val="32"/>
        </w:rPr>
        <w:t>.</w:t>
      </w:r>
      <w:r>
        <w:rPr>
          <w:rFonts w:ascii="仿宋" w:eastAsia="仿宋" w:hAnsi="仿宋"/>
          <w:color w:val="000000" w:themeColor="text1"/>
          <w:sz w:val="32"/>
          <w:szCs w:val="32"/>
        </w:rPr>
        <w:t>91</w:t>
      </w:r>
      <w:r>
        <w:rPr>
          <w:rFonts w:ascii="仿宋" w:eastAsia="仿宋" w:hAnsi="仿宋" w:hint="eastAsia"/>
          <w:color w:val="000000" w:themeColor="text1"/>
          <w:sz w:val="32"/>
          <w:szCs w:val="32"/>
        </w:rPr>
        <w:t>万元；基础设施支出</w:t>
      </w:r>
      <w:r>
        <w:rPr>
          <w:rFonts w:ascii="仿宋" w:eastAsia="仿宋" w:hAnsi="仿宋"/>
          <w:color w:val="000000" w:themeColor="text1"/>
          <w:sz w:val="32"/>
          <w:szCs w:val="32"/>
        </w:rPr>
        <w:t>4</w:t>
      </w:r>
      <w:r>
        <w:rPr>
          <w:rFonts w:ascii="仿宋" w:eastAsia="仿宋" w:hAnsi="仿宋" w:hint="eastAsia"/>
          <w:color w:val="000000" w:themeColor="text1"/>
          <w:sz w:val="32"/>
          <w:szCs w:val="32"/>
        </w:rPr>
        <w:t>,</w:t>
      </w:r>
      <w:r>
        <w:rPr>
          <w:rFonts w:ascii="仿宋" w:eastAsia="仿宋" w:hAnsi="仿宋"/>
          <w:color w:val="000000" w:themeColor="text1"/>
          <w:sz w:val="32"/>
          <w:szCs w:val="32"/>
        </w:rPr>
        <w:t>986</w:t>
      </w:r>
      <w:r>
        <w:rPr>
          <w:rFonts w:ascii="仿宋" w:eastAsia="仿宋" w:hAnsi="仿宋" w:hint="eastAsia"/>
          <w:color w:val="000000" w:themeColor="text1"/>
          <w:sz w:val="32"/>
          <w:szCs w:val="32"/>
        </w:rPr>
        <w:t>.</w:t>
      </w:r>
      <w:r>
        <w:rPr>
          <w:rFonts w:ascii="仿宋" w:eastAsia="仿宋" w:hAnsi="仿宋"/>
          <w:color w:val="000000" w:themeColor="text1"/>
          <w:sz w:val="32"/>
          <w:szCs w:val="32"/>
        </w:rPr>
        <w:t>65</w:t>
      </w:r>
      <w:r>
        <w:rPr>
          <w:rFonts w:ascii="仿宋" w:eastAsia="仿宋" w:hAnsi="仿宋" w:hint="eastAsia"/>
          <w:color w:val="000000" w:themeColor="text1"/>
          <w:sz w:val="32"/>
          <w:szCs w:val="32"/>
        </w:rPr>
        <w:t>万元（含学生公寓16、17栋建设567.72万元；公寓回购款1,526.03万元；智慧校园建设1,641.00万元），减少2,</w:t>
      </w:r>
      <w:r>
        <w:rPr>
          <w:rFonts w:ascii="仿宋" w:eastAsia="仿宋" w:hAnsi="仿宋"/>
          <w:color w:val="000000" w:themeColor="text1"/>
          <w:sz w:val="32"/>
          <w:szCs w:val="32"/>
        </w:rPr>
        <w:t>775</w:t>
      </w:r>
      <w:r>
        <w:rPr>
          <w:rFonts w:ascii="仿宋" w:eastAsia="仿宋" w:hAnsi="仿宋" w:hint="eastAsia"/>
          <w:color w:val="000000" w:themeColor="text1"/>
          <w:sz w:val="32"/>
          <w:szCs w:val="32"/>
        </w:rPr>
        <w:t>.</w:t>
      </w:r>
      <w:r>
        <w:rPr>
          <w:rFonts w:ascii="仿宋" w:eastAsia="仿宋" w:hAnsi="仿宋"/>
          <w:color w:val="000000" w:themeColor="text1"/>
          <w:sz w:val="32"/>
          <w:szCs w:val="32"/>
        </w:rPr>
        <w:t>00</w:t>
      </w:r>
      <w:r>
        <w:rPr>
          <w:rFonts w:ascii="仿宋" w:eastAsia="仿宋" w:hAnsi="仿宋" w:hint="eastAsia"/>
          <w:color w:val="000000" w:themeColor="text1"/>
          <w:sz w:val="32"/>
          <w:szCs w:val="32"/>
        </w:rPr>
        <w:t>万元；人才工程支出</w:t>
      </w:r>
      <w:r>
        <w:rPr>
          <w:rFonts w:ascii="仿宋" w:eastAsia="仿宋" w:hAnsi="仿宋"/>
          <w:color w:val="000000" w:themeColor="text1"/>
          <w:sz w:val="32"/>
          <w:szCs w:val="32"/>
        </w:rPr>
        <w:t>730</w:t>
      </w:r>
      <w:r>
        <w:rPr>
          <w:rFonts w:ascii="仿宋" w:eastAsia="仿宋" w:hAnsi="仿宋" w:hint="eastAsia"/>
          <w:color w:val="000000" w:themeColor="text1"/>
          <w:sz w:val="32"/>
          <w:szCs w:val="32"/>
        </w:rPr>
        <w:t>.</w:t>
      </w:r>
      <w:r>
        <w:rPr>
          <w:rFonts w:ascii="仿宋" w:eastAsia="仿宋" w:hAnsi="仿宋"/>
          <w:color w:val="000000" w:themeColor="text1"/>
          <w:sz w:val="32"/>
          <w:szCs w:val="32"/>
        </w:rPr>
        <w:t>95</w:t>
      </w:r>
      <w:r>
        <w:rPr>
          <w:rFonts w:ascii="仿宋" w:eastAsia="仿宋" w:hAnsi="仿宋" w:hint="eastAsia"/>
          <w:color w:val="000000" w:themeColor="text1"/>
          <w:sz w:val="32"/>
          <w:szCs w:val="32"/>
        </w:rPr>
        <w:t>万元，减少</w:t>
      </w:r>
      <w:r>
        <w:rPr>
          <w:rFonts w:ascii="仿宋" w:eastAsia="仿宋" w:hAnsi="仿宋"/>
          <w:color w:val="000000" w:themeColor="text1"/>
          <w:sz w:val="32"/>
          <w:szCs w:val="32"/>
        </w:rPr>
        <w:t>26</w:t>
      </w:r>
      <w:r>
        <w:rPr>
          <w:rFonts w:ascii="仿宋" w:eastAsia="仿宋" w:hAnsi="仿宋" w:hint="eastAsia"/>
          <w:color w:val="000000" w:themeColor="text1"/>
          <w:sz w:val="32"/>
          <w:szCs w:val="32"/>
        </w:rPr>
        <w:t>.</w:t>
      </w:r>
      <w:r>
        <w:rPr>
          <w:rFonts w:ascii="仿宋" w:eastAsia="仿宋" w:hAnsi="仿宋"/>
          <w:color w:val="000000" w:themeColor="text1"/>
          <w:sz w:val="32"/>
          <w:szCs w:val="32"/>
        </w:rPr>
        <w:t>55</w:t>
      </w:r>
      <w:r>
        <w:rPr>
          <w:rFonts w:ascii="仿宋" w:eastAsia="仿宋" w:hAnsi="仿宋" w:hint="eastAsia"/>
          <w:color w:val="000000" w:themeColor="text1"/>
          <w:sz w:val="32"/>
          <w:szCs w:val="32"/>
        </w:rPr>
        <w:t>万元；核心期刊创建工程支出7.90万元，减少14.3</w:t>
      </w:r>
      <w:r>
        <w:rPr>
          <w:rFonts w:ascii="仿宋" w:eastAsia="仿宋" w:hAnsi="仿宋"/>
          <w:color w:val="000000" w:themeColor="text1"/>
          <w:sz w:val="32"/>
          <w:szCs w:val="32"/>
        </w:rPr>
        <w:t>5</w:t>
      </w:r>
      <w:r>
        <w:rPr>
          <w:rFonts w:ascii="仿宋" w:eastAsia="仿宋" w:hAnsi="仿宋" w:hint="eastAsia"/>
          <w:color w:val="000000" w:themeColor="text1"/>
          <w:sz w:val="32"/>
          <w:szCs w:val="32"/>
        </w:rPr>
        <w:t>万元。</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学校强力推进科研平台建设和科学研究工作，建有1个省级2011协同创新中心、3个省级重点实验室、7个省级研究基地、2个厅级研究基地和20个校级研究机构，引入了湖南经济地理研究所学科团队和平台，其中全国地理类权威期刊《经济地理》是CSSCI重要来源期刊，在地理学科和经济学科有重要影响。近年来，学校获得各级各类课题740多项，其中国家社会科学基金和国家自然科学基金项目22项，获省级教学、科研成果奖9项，省科学技术奖5项。</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课程建设稳步推进。推动教师全员参与课程理念创新、内容创新和模式创新，将课程思政有机融入教育教学全过程，建立健全以质量为导向的课程建设激励机制，构建多类型、多样化的教学内容与课程体系。《会计学原理》《财政学》2门课程入选国家一流本科课程，《中国税制》等24门课程认定为2020 年湖南省一流本科课程。截至目前学校共计获批36门省级</w:t>
      </w:r>
      <w:r w:rsidRPr="00F22FFF">
        <w:rPr>
          <w:rFonts w:ascii="仿宋" w:eastAsia="仿宋" w:hAnsi="仿宋" w:hint="eastAsia"/>
          <w:sz w:val="32"/>
          <w:szCs w:val="32"/>
        </w:rPr>
        <w:lastRenderedPageBreak/>
        <w:t>及以上一流本科课程。加强课堂教学督导，15位教学督导分8个小组，完成900多课时的课堂教学听课任务。</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深化产学研合作和创新创业教育。全年与21家单位签订战略合作协议，积极开展现代产业学院共建合作；实习基地数量达到119个，覆盖全校38个本科专业。学校创新创业孵化基地被省教育厅认定为“湖南省高校大学生创新创业孵化示范基地”，目前基地共有在孵创业项目23个。“政府治理现代化创新创业教育中心”等2个中心和2个基地被认定为湖南省普通高校创新创业教育中心或校企合作创新创业教育基地。继续开展了“创业沙龙半月谈”“一月一诊断”“创业人物专栏”“梅溪双创大讲堂”四大特色活动，共邀请11位公司高管、行业协会专家、高校学者来我校开展了创业沙龙、讲座、项目路演活动共18场，近6000人次参加活动。组织开展了2020年大学生创新创业训练计划申报与结项工作，获立大学生创新创业训练计划国家级项目20项、省级项目40项。</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认真组织线上教学。上半年受新冠疫情影响学生未能如期返校，学校积极与超星公司建立了校内线上学习平台“学习通”，全面开展在线教学培训、加强在线资源建设，保障了上半年教学工作正常开展：计划开课459门，实际开课456门，开课率99.34%；计划开课1988门次，实际开出1958门次，开出率98.49%。师生总体满意度超过93%。加强校内SPOC课程资源平台建设，积极开展建课活动。全校427位教师在超星泛雅平台上建有线上课程819门次，部分课程已进行翻转课堂教学改革实践。</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着力构建“五育”并举教育体系。进一步完善课程思政改革方案，实施思想政治工作质量提升工程，加入“财经类高校课程思政联盟”。新增省级思想政治工作精品项目2项、社科基金一般课题1项、优秀团队建设项目1项，省级课程思政建设研究项目18项，校级思想道德素质提升工程</w:t>
      </w:r>
      <w:r w:rsidRPr="00F22FFF">
        <w:rPr>
          <w:rFonts w:ascii="仿宋" w:eastAsia="仿宋" w:hAnsi="仿宋" w:hint="eastAsia"/>
          <w:sz w:val="32"/>
          <w:szCs w:val="32"/>
        </w:rPr>
        <w:lastRenderedPageBreak/>
        <w:t>15项，立项建设14门课程思政示范课程，表彰了13名课程思政优秀教师。被省易班发展中心评为全省高校先进单位，教育部易班发展中心、湖南省教育电视对我校运用易班网创新思想政治教育的工作方法多次开展专题报道。增加美育学分，承办了高雅艺术进校园专场演出、郎朗钢琴音乐会等活动。在2020级学生中开设劳动教育必修课，组织开展了劳动理论课教学、集体实践劳动、公益劳动、文明宿舍创建等劳动课教学内容，打造“点线面网”立体式劳动教育体系。开展“基础课+体质测试+俱乐部”四年不断线模式的体育课程改革。把“五育并举”落实到人才培养方案修订、教学计划和课程教学之中，建立“五育”协调发展的长效教育机制。</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学生综合素质日益提升。全年在校生在各级各类学科竞赛中获奖149项，其中国家级奖项35项。学生在国内外刊物上发表学术论文60余篇，获实用新型专利3项。“三下乡”活动中大拇指义工志愿服务队获全国“百强”实践团队、全省优秀团队。在第九届“挑战杯”大学生创业计划大赛上，2件作品获省级银奖，6件作品获省级铜奖；第六届“互联网＋”大学生创新创业大赛上，6件作品进入国赛评选，获全国三等奖1项。Sky街舞社获湖南省大中学生健美操啦啦操比赛甲组第一名，企业沙盘模拟经营协会获企业沙盘模拟与经营竞赛省赛一等奖。会计学院1名学生作为湖南省唯一一名青年团选手参与了中央电视台第六季“中国诗词大会”现场录制，并进入了“百人团”。</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进一步提高教育国际化水平。与英国罗汉普顿大学合作举办的会计学专业本科教育项目顺利通过教育部中外合作办学项目评估，首届毕业生中有37人考取研究生，其中31人被境外大学录取；第一批赴罗汉普顿大学就读的13名2020届学生均获得英国一等学位。与澳大利亚悉尼科技大学、新南威尔士大学等国外知名大学拓展合作领域，引入本科生联合培养、本</w:t>
      </w:r>
      <w:r w:rsidRPr="00F22FFF">
        <w:rPr>
          <w:rFonts w:ascii="仿宋" w:eastAsia="仿宋" w:hAnsi="仿宋" w:hint="eastAsia"/>
          <w:sz w:val="32"/>
          <w:szCs w:val="32"/>
        </w:rPr>
        <w:lastRenderedPageBreak/>
        <w:t>科+硕士联合培养、硕士生联合培养等项目，为有意出国留学的学生进行出国指导和留学咨询服务，满足学生个性化学习需求。</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高水平科研成果取得新突破。2020年，学校共推荐申报国家社科基金项目70项、国家自科项目30项，获批9项国家社科、自科基金项目创历史新高。其中7项国家社科基金项目（重点项目1项）立项数排名全国高校前200位，财经类院校第32位。各级各类科研项目批准经费超过530万元，横向课题经费2600多万元，学校教师年人均科研到账经费突破4万元。获湖南省科学技术奖二等奖、三等奖各一项，出版专著15部，获软件著作权18项、实用新型专利34项。过去一年学校教师共发表论文326 篇，其中CSSCI以上57篇，SCI收录38篇，人大复印资料转载2篇，JCR一区国际期刊CMC（Computers, Materials &amp; Continua）连续发表我校财经大数据研究团队的两篇研究论文，论文展示材料将作为优秀成果在世界范围内公开推广。</w:t>
      </w:r>
    </w:p>
    <w:p w:rsidR="00993675" w:rsidRPr="00F22FFF"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学科建设水平稳步提高。制定出台学校《应用特色学科建设与管理办法》，开展省级应用特色学科年度建设绩效自我评价，将马克思主义理论列入校级应用特色培育学科。开展“双一流”建设中期自评总结，启动并完成了省级高水平大学及优势学科建设监测点工作，启动了硕士点建设单位的申报工作，成立Si农业工程技术研究中心。</w:t>
      </w:r>
    </w:p>
    <w:p w:rsidR="00993675"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高层次学术交流频繁。做好常态化疫情防控背景下的学术交流，承办了第四届财经一流学科建设联盟会议暨高端论坛，是学校近年来举行的规模最大、层次最高的一次学术活动，来自中南财经政法大学、西南财经大学、广东财经大学等全国35所高校和企业的120余名代表齐聚财院，共话财经高等教育发展之略。全年举办60余场学术活动，包括新时期财经类院校本科人才培养与科学研究论坛、第五届全国资源科学青年科学家论坛、</w:t>
      </w:r>
      <w:r w:rsidRPr="00F22FFF">
        <w:rPr>
          <w:rFonts w:ascii="仿宋" w:eastAsia="仿宋" w:hAnsi="仿宋" w:hint="eastAsia"/>
          <w:sz w:val="32"/>
          <w:szCs w:val="32"/>
        </w:rPr>
        <w:lastRenderedPageBreak/>
        <w:t>第二届湖湘经济学者论坛等，陈世卿、史清华、夏飞、张新民、贺铿、杨汝岱等知名专家学者来校开展学术交流，促进了学科建设和教师科研水平的全面提升。作为发起单位加入岳麓山国家大学科技城软件产业生态圈共建计划。</w:t>
      </w:r>
    </w:p>
    <w:p w:rsidR="00993675" w:rsidRDefault="00993675" w:rsidP="00993675">
      <w:pPr>
        <w:ind w:firstLineChars="200" w:firstLine="640"/>
        <w:rPr>
          <w:rFonts w:ascii="仿宋" w:eastAsia="仿宋" w:hAnsi="仿宋"/>
          <w:sz w:val="32"/>
          <w:szCs w:val="32"/>
        </w:rPr>
      </w:pPr>
      <w:r w:rsidRPr="00F22FFF">
        <w:rPr>
          <w:rFonts w:ascii="仿宋" w:eastAsia="仿宋" w:hAnsi="仿宋" w:hint="eastAsia"/>
          <w:sz w:val="32"/>
          <w:szCs w:val="32"/>
        </w:rPr>
        <w:t>启动研究生联合培养工作。启动与湘潭大学联合培养研究生工作，为学校今后硕士点建设工作奠定了坚实基础，积累了丰富经验。过去一年遴选和确认了24名理论经济学、应用经济学等学科导师，13名博士，32名硕士来校学习。</w:t>
      </w:r>
    </w:p>
    <w:p w:rsidR="00993675" w:rsidRPr="00CB522C" w:rsidRDefault="00993675" w:rsidP="00993675">
      <w:pPr>
        <w:ind w:firstLineChars="200" w:firstLine="640"/>
        <w:rPr>
          <w:rFonts w:ascii="仿宋" w:eastAsia="仿宋" w:hAnsi="仿宋"/>
          <w:sz w:val="32"/>
          <w:szCs w:val="32"/>
        </w:rPr>
      </w:pPr>
      <w:r w:rsidRPr="00CB522C">
        <w:rPr>
          <w:rFonts w:ascii="仿宋" w:eastAsia="仿宋" w:hAnsi="仿宋" w:hint="eastAsia"/>
          <w:sz w:val="32"/>
          <w:szCs w:val="32"/>
        </w:rPr>
        <w:t>雷锋校区建设全面启动。5月11日，经省政府常务会议审议通过学校雷锋校区新工（文）科产教融合基地建设项目项目；7月20日，省发改委正式批复立项，获批投资2.173亿元。校区新建项目总建筑面积59300平方米，其中新建实训教学综合楼19000平方米、新建学生公寓38000平方米、地下建筑面积2300平方米，校区内部供水、供电、污水管网等设施，校内道路和学生体育场馆等都将进行相应维修改造。校区建设拟采用EPC总承包方式，目前已完成清表、初步设计、投资概算等工作，校区预计2021年9月竣工投入使用。</w:t>
      </w:r>
    </w:p>
    <w:p w:rsidR="00993675" w:rsidRPr="00CB522C" w:rsidRDefault="00993675" w:rsidP="00993675">
      <w:pPr>
        <w:ind w:firstLineChars="200" w:firstLine="640"/>
        <w:rPr>
          <w:rFonts w:ascii="仿宋" w:eastAsia="仿宋" w:hAnsi="仿宋"/>
          <w:sz w:val="32"/>
          <w:szCs w:val="32"/>
        </w:rPr>
      </w:pPr>
      <w:r w:rsidRPr="00CB522C">
        <w:rPr>
          <w:rFonts w:ascii="仿宋" w:eastAsia="仿宋" w:hAnsi="仿宋" w:hint="eastAsia"/>
          <w:sz w:val="32"/>
          <w:szCs w:val="32"/>
        </w:rPr>
        <w:t>改善师生学习、生活环境。10、11栋学生宿舍经公寓化改造后正式投入使用，对青年教师公寓进行了装修改造，利用二食堂三楼改建了教工食堂，改善了教师用餐环境。启动绿化专项工程，新栽种了一批樱花树、桃树、蔷薇、桂花等苗木。校园主要道路进行了白改黑工程，解决了困扰师生已久的道路积水问题。</w:t>
      </w:r>
    </w:p>
    <w:p w:rsidR="00993675" w:rsidRPr="00CB522C" w:rsidRDefault="00993675" w:rsidP="00993675">
      <w:pPr>
        <w:ind w:firstLineChars="200" w:firstLine="640"/>
        <w:rPr>
          <w:rFonts w:ascii="仿宋" w:eastAsia="仿宋" w:hAnsi="仿宋"/>
          <w:sz w:val="32"/>
          <w:szCs w:val="32"/>
        </w:rPr>
      </w:pPr>
      <w:r w:rsidRPr="00CB522C">
        <w:rPr>
          <w:rFonts w:ascii="仿宋" w:eastAsia="仿宋" w:hAnsi="仿宋" w:hint="eastAsia"/>
          <w:sz w:val="32"/>
          <w:szCs w:val="32"/>
        </w:rPr>
        <w:t>提升教学保障能力。学校信息化基础建设的“一库三平台”，即：学校共享数据库、统一身份认证平台、数据清洗交换平台和统一信息门户平台顺利通过验收；完成学校全部有线网络7200多个信息点及无线4000多个</w:t>
      </w:r>
      <w:r w:rsidRPr="00CB522C">
        <w:rPr>
          <w:rFonts w:ascii="仿宋" w:eastAsia="仿宋" w:hAnsi="仿宋" w:hint="eastAsia"/>
          <w:sz w:val="32"/>
          <w:szCs w:val="32"/>
        </w:rPr>
        <w:lastRenderedPageBreak/>
        <w:t>信息点的运行保障工作，进行IPv6改造升级，对外vpn服务达30000余次。上线CARSI 应用，全力支撑疫情期间师生的教学科研工作。图书馆新增纸质图书18234册，自习室做到全年无休，依托数据库商专业丰富的数字资源，为教职工提供文献传递、学术信息服务，深度解决师生查找、获取文献困难的问题。</w:t>
      </w:r>
    </w:p>
    <w:p w:rsidR="00993675" w:rsidRPr="00CB522C" w:rsidRDefault="00993675" w:rsidP="00993675">
      <w:pPr>
        <w:ind w:firstLineChars="200" w:firstLine="640"/>
        <w:rPr>
          <w:rFonts w:ascii="仿宋" w:eastAsia="仿宋" w:hAnsi="仿宋"/>
          <w:sz w:val="32"/>
          <w:szCs w:val="32"/>
        </w:rPr>
      </w:pPr>
      <w:r w:rsidRPr="00CB522C">
        <w:rPr>
          <w:rFonts w:ascii="仿宋" w:eastAsia="仿宋" w:hAnsi="仿宋" w:hint="eastAsia"/>
          <w:sz w:val="32"/>
          <w:szCs w:val="32"/>
        </w:rPr>
        <w:t>增强财务精细化管理水平。科学配置财力资源，强化资金绩效管理，提高年初预算精细化管理程度。增强财务保障能力。积极向省财政厅、教育厅申请争取 “十三五”基本建设规划补助、中央财政支持地方高校建设、“双一流”建设、标准化考场建设、教育现代化推进工程中央基建投资专项债等资金支持。与华融湘江银行签订战略合作协议，未来7年内给予学校6300万元资金支持。加强重大政策落实跟踪审计，加强建设工程管理审计，完成基建、维修工程结算审核项目14项，审减造价14.9万元，审减率3.77%。开展了雷锋校区建设项目全过程跟踪审计，办公用品支出、扶贫专项资金收支情况、中外合作办学财务收支情况、重点实验室建设项目等专项审计，进一步促进和强化了内部管理、防范风险、提高资金使用效益，较好地发挥了审计“免疫系统”功能作用。</w:t>
      </w:r>
    </w:p>
    <w:p w:rsidR="00993675" w:rsidRPr="003446F9" w:rsidRDefault="00993675" w:rsidP="00993675">
      <w:pPr>
        <w:ind w:firstLineChars="200" w:firstLine="643"/>
        <w:rPr>
          <w:rFonts w:ascii="仿宋" w:eastAsia="仿宋" w:hAnsi="仿宋"/>
          <w:b/>
          <w:bCs/>
          <w:sz w:val="32"/>
          <w:szCs w:val="32"/>
        </w:rPr>
      </w:pPr>
      <w:r w:rsidRPr="003446F9">
        <w:rPr>
          <w:rFonts w:ascii="仿宋" w:eastAsia="仿宋" w:hAnsi="仿宋" w:hint="eastAsia"/>
          <w:b/>
          <w:bCs/>
          <w:sz w:val="32"/>
          <w:szCs w:val="32"/>
        </w:rPr>
        <w:t>四、政府性基金预算支出情况</w:t>
      </w:r>
    </w:p>
    <w:p w:rsidR="00993675" w:rsidRPr="00665BFE" w:rsidRDefault="00993675" w:rsidP="00993675">
      <w:pPr>
        <w:ind w:firstLineChars="200" w:firstLine="640"/>
        <w:rPr>
          <w:rFonts w:ascii="仿宋" w:eastAsia="仿宋" w:hAnsi="仿宋"/>
          <w:sz w:val="32"/>
          <w:szCs w:val="32"/>
        </w:rPr>
      </w:pPr>
      <w:r>
        <w:rPr>
          <w:rFonts w:ascii="仿宋" w:eastAsia="仿宋" w:hAnsi="仿宋" w:hint="eastAsia"/>
          <w:sz w:val="32"/>
          <w:szCs w:val="32"/>
        </w:rPr>
        <w:t>2020年本单位无政府性基金预算支出情况。</w:t>
      </w:r>
    </w:p>
    <w:p w:rsidR="00993675" w:rsidRPr="0030513E" w:rsidRDefault="00993675" w:rsidP="00993675">
      <w:pPr>
        <w:ind w:firstLineChars="200" w:firstLine="643"/>
        <w:rPr>
          <w:rFonts w:ascii="仿宋" w:eastAsia="仿宋" w:hAnsi="仿宋"/>
          <w:b/>
          <w:bCs/>
          <w:sz w:val="32"/>
          <w:szCs w:val="32"/>
        </w:rPr>
      </w:pPr>
      <w:r>
        <w:rPr>
          <w:rFonts w:ascii="仿宋" w:eastAsia="仿宋" w:hAnsi="仿宋" w:hint="eastAsia"/>
          <w:b/>
          <w:bCs/>
          <w:sz w:val="32"/>
          <w:szCs w:val="32"/>
        </w:rPr>
        <w:t>五、单位整体支出绩效情况</w:t>
      </w:r>
    </w:p>
    <w:p w:rsidR="00993675" w:rsidRPr="007A566C" w:rsidRDefault="00993675" w:rsidP="00993675">
      <w:pPr>
        <w:widowControl/>
        <w:shd w:val="clear" w:color="auto" w:fill="FFFFFF"/>
        <w:spacing w:line="360" w:lineRule="auto"/>
        <w:ind w:firstLineChars="200" w:firstLine="640"/>
        <w:rPr>
          <w:rFonts w:ascii="仿宋" w:eastAsia="仿宋" w:hAnsi="仿宋"/>
          <w:sz w:val="32"/>
          <w:szCs w:val="32"/>
        </w:rPr>
      </w:pPr>
      <w:r w:rsidRPr="00BC064F">
        <w:rPr>
          <w:rFonts w:ascii="仿宋" w:eastAsia="仿宋" w:hAnsi="仿宋" w:hint="eastAsia"/>
          <w:sz w:val="32"/>
          <w:szCs w:val="32"/>
        </w:rPr>
        <w:t>在预算管理上我们注重深化财务改革，科学规范财经秩序；严肃财经纪律，加大财务监管力度。</w:t>
      </w:r>
      <w:r>
        <w:rPr>
          <w:rFonts w:ascii="仿宋" w:eastAsia="仿宋" w:hAnsi="仿宋" w:hint="eastAsia"/>
          <w:sz w:val="32"/>
          <w:szCs w:val="32"/>
        </w:rPr>
        <w:t>遵循“发展、合规、有效、安全”的财务管理理念，将学校有限财力保障民生支出，保障学校的稳定及正常运行。2020年，学校财务加大预算统筹管理力度，坚决落实学校和党委会确定的预算分配原则，严格压减一般性行政经费支出；统筹兼顾聚焦重点支出；实行</w:t>
      </w:r>
      <w:r>
        <w:rPr>
          <w:rFonts w:ascii="仿宋" w:eastAsia="仿宋" w:hAnsi="仿宋" w:hint="eastAsia"/>
          <w:sz w:val="32"/>
          <w:szCs w:val="32"/>
        </w:rPr>
        <w:lastRenderedPageBreak/>
        <w:t>零基预算，按照需求安排年度预算；放管结合、充分发挥二级学院统筹权责。在财力有限的情况下，学校财务继续坚持以教学工作为中心，稳定教学事务支出，始终坚持以学生为本，学生奖、助、贷、免、补等各方面的利益都得到了切实的保障。</w:t>
      </w:r>
    </w:p>
    <w:p w:rsidR="00993675" w:rsidRPr="00BC064F" w:rsidRDefault="00993675" w:rsidP="00993675">
      <w:pPr>
        <w:ind w:firstLineChars="200" w:firstLine="640"/>
        <w:rPr>
          <w:rFonts w:ascii="仿宋" w:eastAsia="仿宋" w:hAnsi="仿宋"/>
          <w:sz w:val="32"/>
          <w:szCs w:val="32"/>
        </w:rPr>
      </w:pPr>
      <w:r>
        <w:rPr>
          <w:rFonts w:ascii="仿宋" w:eastAsia="仿宋" w:hAnsi="仿宋" w:hint="eastAsia"/>
          <w:sz w:val="32"/>
          <w:szCs w:val="32"/>
        </w:rPr>
        <w:t>2020</w:t>
      </w:r>
      <w:r w:rsidRPr="00BC064F">
        <w:rPr>
          <w:rFonts w:ascii="仿宋" w:eastAsia="仿宋" w:hAnsi="仿宋" w:hint="eastAsia"/>
          <w:sz w:val="32"/>
          <w:szCs w:val="32"/>
        </w:rPr>
        <w:t>年在注重深化财务改革，科学规范财经秩序上，我们做到了：</w:t>
      </w:r>
    </w:p>
    <w:p w:rsidR="00993675" w:rsidRPr="00BC064F"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一是严格规范专项资金管理。除坚决贯彻执行中央、省、厅制定的各类专项资金管理办法外，</w:t>
      </w:r>
      <w:r>
        <w:rPr>
          <w:rFonts w:ascii="仿宋" w:eastAsia="仿宋" w:hAnsi="仿宋" w:hint="eastAsia"/>
          <w:sz w:val="32"/>
          <w:szCs w:val="32"/>
        </w:rPr>
        <w:t>2020</w:t>
      </w:r>
      <w:r w:rsidRPr="00BC064F">
        <w:rPr>
          <w:rFonts w:ascii="仿宋" w:eastAsia="仿宋" w:hAnsi="仿宋" w:hint="eastAsia"/>
          <w:sz w:val="32"/>
          <w:szCs w:val="32"/>
        </w:rPr>
        <w:t>年</w:t>
      </w:r>
      <w:r>
        <w:rPr>
          <w:rFonts w:ascii="仿宋" w:eastAsia="仿宋" w:hAnsi="仿宋" w:hint="eastAsia"/>
          <w:sz w:val="32"/>
          <w:szCs w:val="32"/>
        </w:rPr>
        <w:t>继续</w:t>
      </w:r>
      <w:r w:rsidRPr="00BC064F">
        <w:rPr>
          <w:rFonts w:ascii="仿宋" w:eastAsia="仿宋" w:hAnsi="仿宋" w:hint="eastAsia"/>
          <w:sz w:val="32"/>
          <w:szCs w:val="32"/>
        </w:rPr>
        <w:t>建立健全所有专项资金管理办法，适当进行补充完善。部门所有项目和资金都要“先制定管理办法，后安排预算资金”，减少资金分配随意性，提高科学性和公平性。</w:t>
      </w:r>
    </w:p>
    <w:p w:rsidR="00993675" w:rsidRPr="00BC064F"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二是推进重点项目支出绩效管理。根据省财政厅绩效评价工作有关规定，通过绩效评价，健全预算绩效管理机制，进一步了解了项目实施中存在的问题，强化了专项资金管理，卡紧了“钱袋子”，提高了资金使用绩效。</w:t>
      </w:r>
    </w:p>
    <w:p w:rsidR="00993675" w:rsidRPr="007A566C"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三是建立健全部门预算监管机制。凡是出台新的文件制度，只要涉及经费预算方面的，必须经学院财经工作领导小组审核后提交院长办公会议审议。</w:t>
      </w:r>
    </w:p>
    <w:p w:rsidR="00993675" w:rsidRPr="00BC064F" w:rsidRDefault="00993675" w:rsidP="00993675">
      <w:pPr>
        <w:ind w:firstLineChars="200" w:firstLine="640"/>
        <w:rPr>
          <w:rFonts w:ascii="仿宋" w:eastAsia="仿宋" w:hAnsi="仿宋"/>
          <w:sz w:val="32"/>
          <w:szCs w:val="32"/>
        </w:rPr>
      </w:pPr>
      <w:r>
        <w:rPr>
          <w:rFonts w:ascii="仿宋" w:eastAsia="仿宋" w:hAnsi="仿宋" w:hint="eastAsia"/>
          <w:sz w:val="32"/>
          <w:szCs w:val="32"/>
        </w:rPr>
        <w:t>2020</w:t>
      </w:r>
      <w:r w:rsidRPr="00BC064F">
        <w:rPr>
          <w:rFonts w:ascii="仿宋" w:eastAsia="仿宋" w:hAnsi="仿宋" w:hint="eastAsia"/>
          <w:sz w:val="32"/>
          <w:szCs w:val="32"/>
        </w:rPr>
        <w:t xml:space="preserve">年在严肃财经纪律，加大财务监管力度上，我们做到了： </w:t>
      </w:r>
    </w:p>
    <w:p w:rsidR="00993675" w:rsidRPr="00BC064F"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严肃财经纪律是坚持依法理财的重要基础、建设法治学校的客观要求、依法理财的有力依据、加强作风建设的根本保证。做到学法懂法，以相关法律法规和制度为依据，严格按规章制度办事；对重大资金支付、重点项目、重大事项等决策，严格遵守依法依规依程序；扎紧制度的“笼子”，强化刚性约束，加大财务监管力度。</w:t>
      </w:r>
    </w:p>
    <w:p w:rsidR="00993675" w:rsidRPr="00BC064F"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一是严格遵守财经法律法规底线。坚持厉行节约，预算管理做到量入为出、量力而行、保证重点、压缩一般；严守各项财经纪律，加强项目支出预算和预算追加管理，确保财务收支平衡、稳健运行，切实防止过度举</w:t>
      </w:r>
      <w:r w:rsidRPr="00BC064F">
        <w:rPr>
          <w:rFonts w:ascii="仿宋" w:eastAsia="仿宋" w:hAnsi="仿宋" w:hint="eastAsia"/>
          <w:sz w:val="32"/>
          <w:szCs w:val="32"/>
        </w:rPr>
        <w:lastRenderedPageBreak/>
        <w:t>债对财务的冲击；强化预算约束，加强“三公经费”管理，</w:t>
      </w:r>
      <w:r>
        <w:rPr>
          <w:rFonts w:ascii="仿宋" w:eastAsia="仿宋" w:hAnsi="仿宋" w:hint="eastAsia"/>
          <w:sz w:val="32"/>
          <w:szCs w:val="32"/>
        </w:rPr>
        <w:t>2020</w:t>
      </w:r>
      <w:r w:rsidRPr="00BC064F">
        <w:rPr>
          <w:rFonts w:ascii="仿宋" w:eastAsia="仿宋" w:hAnsi="仿宋" w:hint="eastAsia"/>
          <w:sz w:val="32"/>
          <w:szCs w:val="32"/>
        </w:rPr>
        <w:t>年将各部门三公经费预算</w:t>
      </w:r>
      <w:r>
        <w:rPr>
          <w:rFonts w:ascii="仿宋" w:eastAsia="仿宋" w:hAnsi="仿宋" w:hint="eastAsia"/>
          <w:sz w:val="32"/>
          <w:szCs w:val="32"/>
        </w:rPr>
        <w:t>管理</w:t>
      </w:r>
      <w:r w:rsidRPr="00BC064F">
        <w:rPr>
          <w:rFonts w:ascii="仿宋" w:eastAsia="仿宋" w:hAnsi="仿宋" w:hint="eastAsia"/>
          <w:sz w:val="32"/>
          <w:szCs w:val="32"/>
        </w:rPr>
        <w:t>、公务卡支付结算、科研经费管理、超预算安排支出等作为监管重点。</w:t>
      </w:r>
    </w:p>
    <w:p w:rsidR="00993675" w:rsidRPr="00656015"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二是注重制度建设，切实把权力关进制度的“笼子”。在财政部门系列新规密集出台之后，财务部门迅速跟进，坚持总结、借鉴、完善、创新的原则，对现行办法进行全方位梳理、分析，在较短时间内，牵头修订、制定出台了</w:t>
      </w:r>
      <w:r>
        <w:rPr>
          <w:rFonts w:ascii="仿宋" w:eastAsia="仿宋" w:hAnsi="仿宋" w:hint="eastAsia"/>
          <w:sz w:val="32"/>
          <w:szCs w:val="32"/>
        </w:rPr>
        <w:t>多</w:t>
      </w:r>
      <w:r w:rsidRPr="00BC064F">
        <w:rPr>
          <w:rFonts w:ascii="仿宋" w:eastAsia="仿宋" w:hAnsi="仿宋" w:hint="eastAsia"/>
          <w:sz w:val="32"/>
          <w:szCs w:val="32"/>
        </w:rPr>
        <w:t>项专项资金管理办法</w:t>
      </w:r>
      <w:r w:rsidRPr="00656015">
        <w:rPr>
          <w:rFonts w:ascii="仿宋" w:eastAsia="仿宋" w:hAnsi="仿宋" w:hint="eastAsia"/>
          <w:sz w:val="32"/>
          <w:szCs w:val="32"/>
        </w:rPr>
        <w:t>。</w:t>
      </w:r>
    </w:p>
    <w:p w:rsidR="00993675" w:rsidRPr="00656015" w:rsidRDefault="00993675" w:rsidP="00993675">
      <w:pPr>
        <w:widowControl/>
        <w:spacing w:line="360" w:lineRule="auto"/>
        <w:ind w:firstLineChars="200" w:firstLine="640"/>
        <w:rPr>
          <w:rFonts w:ascii="仿宋" w:eastAsia="仿宋" w:hAnsi="仿宋"/>
          <w:b/>
          <w:bCs/>
          <w:sz w:val="32"/>
          <w:szCs w:val="32"/>
        </w:rPr>
      </w:pPr>
      <w:r w:rsidRPr="00656015">
        <w:rPr>
          <w:rFonts w:ascii="仿宋" w:eastAsia="仿宋" w:hAnsi="仿宋" w:hint="eastAsia"/>
          <w:sz w:val="32"/>
          <w:szCs w:val="32"/>
        </w:rPr>
        <w:t>三是二保一压、严控支出。</w:t>
      </w:r>
      <w:r>
        <w:rPr>
          <w:rFonts w:ascii="仿宋" w:eastAsia="仿宋" w:hAnsi="仿宋" w:hint="eastAsia"/>
          <w:sz w:val="32"/>
          <w:szCs w:val="32"/>
        </w:rPr>
        <w:t>2020年首先保持人员经费的基本稳定，同时保证学校基本运行所必须的各项经费得到落实。要严格区分日常办公经费和日常业务运行经费，</w:t>
      </w:r>
      <w:bookmarkStart w:id="2" w:name="_Hlk32315375"/>
      <w:r>
        <w:rPr>
          <w:rFonts w:ascii="仿宋" w:eastAsia="仿宋" w:hAnsi="仿宋" w:hint="eastAsia"/>
          <w:sz w:val="32"/>
          <w:szCs w:val="32"/>
        </w:rPr>
        <w:t>从严从紧编制日常办公经费，科学合理安排日常业务运行经费，严格控制一般性行政经费增长，大力压减非刚性、非重点项目支出，2020年继续执行“三公”经费只减不增的规定，校内预算在2020年的基础上全部压减20%。</w:t>
      </w:r>
      <w:bookmarkEnd w:id="2"/>
      <w:r>
        <w:rPr>
          <w:rFonts w:ascii="仿宋" w:eastAsia="仿宋" w:hAnsi="仿宋" w:hint="eastAsia"/>
          <w:sz w:val="32"/>
          <w:szCs w:val="32"/>
        </w:rPr>
        <w:t>以事定钱、以钱控事，严格控制专项经费支出，年初预算按计划和综合定额标准编制，年中一般不可以新增安排，也不得随意调整。避免杜绝在安排部分专项资金中挤占基本支出的问题。</w:t>
      </w:r>
    </w:p>
    <w:p w:rsidR="00993675" w:rsidRPr="00BC064F" w:rsidRDefault="00993675" w:rsidP="00993675">
      <w:pPr>
        <w:ind w:firstLineChars="200" w:firstLine="640"/>
        <w:rPr>
          <w:rFonts w:ascii="仿宋" w:eastAsia="仿宋" w:hAnsi="仿宋"/>
          <w:sz w:val="32"/>
          <w:szCs w:val="32"/>
        </w:rPr>
      </w:pPr>
      <w:r>
        <w:rPr>
          <w:rFonts w:ascii="仿宋" w:eastAsia="仿宋" w:hAnsi="仿宋" w:hint="eastAsia"/>
          <w:sz w:val="32"/>
          <w:szCs w:val="32"/>
        </w:rPr>
        <w:t>四</w:t>
      </w:r>
      <w:r w:rsidRPr="00BC064F">
        <w:rPr>
          <w:rFonts w:ascii="仿宋" w:eastAsia="仿宋" w:hAnsi="仿宋" w:hint="eastAsia"/>
          <w:sz w:val="32"/>
          <w:szCs w:val="32"/>
        </w:rPr>
        <w:t>是严格遵循财务信息公开。做好部门预算、决算和“三公经费”等财务信息公开工作，全面实行“阳光财务”。积极完善网上公开查询系统，使收入预算、支出预算、“三公”经费预算一项项全部做到有据可查。同时强力推行“公务卡”制度，确保各项公用经费支出在阳光下运行。</w:t>
      </w:r>
    </w:p>
    <w:p w:rsidR="00993675" w:rsidRDefault="00993675" w:rsidP="00993675">
      <w:pPr>
        <w:ind w:firstLineChars="200" w:firstLine="640"/>
        <w:rPr>
          <w:rFonts w:ascii="仿宋" w:eastAsia="仿宋" w:hAnsi="仿宋"/>
          <w:sz w:val="32"/>
          <w:szCs w:val="32"/>
        </w:rPr>
      </w:pPr>
      <w:r>
        <w:rPr>
          <w:rFonts w:ascii="仿宋" w:eastAsia="仿宋" w:hAnsi="仿宋" w:hint="eastAsia"/>
          <w:sz w:val="32"/>
          <w:szCs w:val="32"/>
        </w:rPr>
        <w:t>五</w:t>
      </w:r>
      <w:r w:rsidRPr="00BC064F">
        <w:rPr>
          <w:rFonts w:ascii="仿宋" w:eastAsia="仿宋" w:hAnsi="仿宋" w:hint="eastAsia"/>
          <w:sz w:val="32"/>
          <w:szCs w:val="32"/>
        </w:rPr>
        <w:t>是加强队伍建设，提升管理水平。首先，启动全员培训计划，提高队伍素质。其次，深入开展党的群众路线教育实践活动，坚持“四个不放松”打造作风建设新常态。抓好落实整改不放松，坚持思想教育不放松，严格监督考核不放松，抓好财务中心工作不放松。再次，加强党风廉政建设，提高拒腐防变能力。夯实管理基础，努力提高财务管理信息化水平。</w:t>
      </w:r>
    </w:p>
    <w:p w:rsidR="00993675" w:rsidRPr="00656015" w:rsidRDefault="00993675" w:rsidP="00993675">
      <w:pPr>
        <w:widowControl/>
        <w:spacing w:line="360" w:lineRule="auto"/>
        <w:ind w:firstLineChars="200" w:firstLine="640"/>
        <w:rPr>
          <w:rFonts w:ascii="仿宋" w:eastAsia="仿宋" w:hAnsi="仿宋"/>
          <w:b/>
          <w:bCs/>
          <w:sz w:val="32"/>
          <w:szCs w:val="32"/>
        </w:rPr>
      </w:pPr>
      <w:r w:rsidRPr="00656015">
        <w:rPr>
          <w:rFonts w:ascii="仿宋" w:eastAsia="仿宋" w:hAnsi="仿宋" w:hint="eastAsia"/>
          <w:sz w:val="32"/>
          <w:szCs w:val="32"/>
        </w:rPr>
        <w:lastRenderedPageBreak/>
        <w:t>六是零基预算、维持不增。</w:t>
      </w:r>
      <w:r>
        <w:rPr>
          <w:rFonts w:ascii="仿宋" w:eastAsia="仿宋" w:hAnsi="仿宋" w:hint="eastAsia"/>
          <w:sz w:val="32"/>
          <w:szCs w:val="32"/>
        </w:rPr>
        <w:t>学校实行零基预算管理原则。对2020年结转数的处理，2020年上年结转可用指标，不列入2020年收入预算测算因素，但增加2020年可用财力和预算规模。同时，在贯彻结余清零原则的基础上要求学校所有部门区分事情轻重缓急、对需要开展的项目按重要性程度进行排序，说明需要安排预算资金的依据及理由，对于无法说明申报理由的项目不予以支持。</w:t>
      </w:r>
    </w:p>
    <w:p w:rsidR="00993675" w:rsidRPr="00B06B00" w:rsidRDefault="00993675" w:rsidP="00993675">
      <w:pPr>
        <w:ind w:firstLineChars="200" w:firstLine="643"/>
        <w:rPr>
          <w:rFonts w:ascii="仿宋" w:eastAsia="仿宋" w:hAnsi="仿宋"/>
          <w:b/>
          <w:sz w:val="32"/>
          <w:szCs w:val="32"/>
        </w:rPr>
      </w:pPr>
      <w:r>
        <w:rPr>
          <w:rFonts w:ascii="仿宋" w:eastAsia="仿宋" w:hAnsi="仿宋" w:hint="eastAsia"/>
          <w:b/>
          <w:sz w:val="32"/>
          <w:szCs w:val="32"/>
        </w:rPr>
        <w:t>六</w:t>
      </w:r>
      <w:r w:rsidRPr="00B06B00">
        <w:rPr>
          <w:rFonts w:ascii="仿宋" w:eastAsia="仿宋" w:hAnsi="仿宋" w:hint="eastAsia"/>
          <w:b/>
          <w:sz w:val="32"/>
          <w:szCs w:val="32"/>
        </w:rPr>
        <w:t>、存在的问题</w:t>
      </w:r>
      <w:r>
        <w:rPr>
          <w:rFonts w:ascii="仿宋" w:eastAsia="仿宋" w:hAnsi="仿宋" w:hint="eastAsia"/>
          <w:b/>
          <w:sz w:val="32"/>
          <w:szCs w:val="32"/>
        </w:rPr>
        <w:t>及原因分析</w:t>
      </w:r>
    </w:p>
    <w:p w:rsidR="00993675" w:rsidRDefault="00993675" w:rsidP="00993675">
      <w:pPr>
        <w:ind w:firstLineChars="200" w:firstLine="640"/>
        <w:rPr>
          <w:rFonts w:ascii="仿宋" w:eastAsia="仿宋" w:hAnsi="仿宋"/>
          <w:sz w:val="32"/>
          <w:szCs w:val="32"/>
        </w:rPr>
      </w:pPr>
      <w:r w:rsidRPr="00BC064F">
        <w:rPr>
          <w:rFonts w:ascii="仿宋" w:eastAsia="仿宋" w:hAnsi="仿宋" w:hint="eastAsia"/>
          <w:sz w:val="32"/>
          <w:szCs w:val="32"/>
        </w:rPr>
        <w:t>目前在财务运行和预算执行中还存在一些突出的困难和问题：</w:t>
      </w:r>
      <w:r>
        <w:rPr>
          <w:rFonts w:ascii="仿宋" w:eastAsia="仿宋" w:hAnsi="仿宋" w:hint="eastAsia"/>
          <w:sz w:val="32"/>
          <w:szCs w:val="32"/>
        </w:rPr>
        <w:t>1、</w:t>
      </w:r>
      <w:r w:rsidRPr="006C3FAF">
        <w:rPr>
          <w:rFonts w:ascii="仿宋" w:eastAsia="仿宋" w:hAnsi="仿宋" w:hint="eastAsia"/>
          <w:sz w:val="32"/>
          <w:szCs w:val="32"/>
        </w:rPr>
        <w:t>评价结果应用意识</w:t>
      </w:r>
      <w:r>
        <w:rPr>
          <w:rFonts w:ascii="仿宋" w:eastAsia="仿宋" w:hAnsi="仿宋" w:hint="eastAsia"/>
          <w:sz w:val="32"/>
          <w:szCs w:val="32"/>
        </w:rPr>
        <w:t>有待加强</w:t>
      </w:r>
      <w:r w:rsidRPr="006C3FAF">
        <w:rPr>
          <w:rFonts w:ascii="仿宋" w:eastAsia="仿宋" w:hAnsi="仿宋" w:hint="eastAsia"/>
          <w:sz w:val="32"/>
          <w:szCs w:val="32"/>
        </w:rPr>
        <w:t>，运用方式简单、形式化</w:t>
      </w:r>
      <w:r w:rsidRPr="00BC064F">
        <w:rPr>
          <w:rFonts w:ascii="仿宋" w:eastAsia="仿宋" w:hAnsi="仿宋" w:hint="eastAsia"/>
          <w:sz w:val="32"/>
          <w:szCs w:val="32"/>
        </w:rPr>
        <w:t>；</w:t>
      </w:r>
      <w:r>
        <w:rPr>
          <w:rFonts w:ascii="仿宋" w:eastAsia="仿宋" w:hAnsi="仿宋" w:hint="eastAsia"/>
          <w:sz w:val="32"/>
          <w:szCs w:val="32"/>
        </w:rPr>
        <w:t xml:space="preserve"> 2、</w:t>
      </w:r>
      <w:r w:rsidRPr="00BC064F">
        <w:rPr>
          <w:rFonts w:ascii="仿宋" w:eastAsia="仿宋" w:hAnsi="仿宋" w:hint="eastAsia"/>
          <w:sz w:val="32"/>
          <w:szCs w:val="32"/>
        </w:rPr>
        <w:t>财力对上级财政依赖程度较高，财政资金使用效益有待提高。</w:t>
      </w:r>
    </w:p>
    <w:p w:rsidR="00993675" w:rsidRPr="006C3FAF" w:rsidRDefault="00993675" w:rsidP="00993675">
      <w:pPr>
        <w:ind w:firstLineChars="200" w:firstLine="640"/>
        <w:rPr>
          <w:rFonts w:ascii="仿宋" w:eastAsia="仿宋" w:hAnsi="仿宋"/>
          <w:sz w:val="32"/>
          <w:szCs w:val="32"/>
        </w:rPr>
      </w:pPr>
      <w:r>
        <w:rPr>
          <w:rFonts w:ascii="仿宋" w:eastAsia="仿宋" w:hAnsi="仿宋" w:hint="eastAsia"/>
          <w:sz w:val="32"/>
          <w:szCs w:val="32"/>
        </w:rPr>
        <w:t>主要原因分析：学校对</w:t>
      </w:r>
      <w:r w:rsidRPr="006C3FAF">
        <w:rPr>
          <w:rFonts w:ascii="仿宋" w:eastAsia="仿宋" w:hAnsi="仿宋" w:hint="eastAsia"/>
          <w:sz w:val="32"/>
          <w:szCs w:val="32"/>
        </w:rPr>
        <w:t>绩效评价的宣传力度不够，部分教工绩效意识有待进一步加强，“重预算，轻绩效”“重分配，轻监督”的现象还是不同程度地存在。</w:t>
      </w:r>
    </w:p>
    <w:p w:rsidR="00993675" w:rsidRDefault="00993675" w:rsidP="00993675">
      <w:pPr>
        <w:spacing w:line="540" w:lineRule="exact"/>
        <w:ind w:firstLineChars="200" w:firstLine="602"/>
        <w:jc w:val="left"/>
        <w:rPr>
          <w:rFonts w:ascii="宋体" w:hAnsi="宋体" w:cs="宋体"/>
          <w:b/>
          <w:sz w:val="30"/>
          <w:szCs w:val="30"/>
        </w:rPr>
      </w:pPr>
      <w:r>
        <w:rPr>
          <w:rFonts w:ascii="宋体" w:hAnsi="宋体" w:cs="宋体" w:hint="eastAsia"/>
          <w:b/>
          <w:sz w:val="30"/>
          <w:szCs w:val="30"/>
        </w:rPr>
        <w:t>七、下一步改进措施</w:t>
      </w:r>
    </w:p>
    <w:p w:rsidR="00993675" w:rsidRPr="006C3FAF" w:rsidRDefault="00993675" w:rsidP="00993675">
      <w:pPr>
        <w:spacing w:line="540" w:lineRule="exact"/>
        <w:ind w:firstLineChars="200" w:firstLine="640"/>
        <w:jc w:val="left"/>
        <w:rPr>
          <w:rFonts w:ascii="仿宋" w:eastAsia="仿宋" w:hAnsi="仿宋"/>
          <w:sz w:val="32"/>
          <w:szCs w:val="32"/>
        </w:rPr>
      </w:pPr>
      <w:r w:rsidRPr="009E688D">
        <w:rPr>
          <w:rFonts w:ascii="仿宋" w:eastAsia="仿宋" w:hAnsi="仿宋" w:hint="eastAsia"/>
          <w:sz w:val="32"/>
          <w:szCs w:val="32"/>
        </w:rPr>
        <w:t>在今后工作中需将专项资金使用的绩效考评作为一项重点工作，保障专项资金的</w:t>
      </w:r>
      <w:r>
        <w:rPr>
          <w:rFonts w:ascii="仿宋" w:eastAsia="仿宋" w:hAnsi="仿宋" w:hint="eastAsia"/>
          <w:sz w:val="32"/>
          <w:szCs w:val="32"/>
        </w:rPr>
        <w:t>合法、</w:t>
      </w:r>
      <w:r w:rsidRPr="009E688D">
        <w:rPr>
          <w:rFonts w:ascii="仿宋" w:eastAsia="仿宋" w:hAnsi="仿宋" w:hint="eastAsia"/>
          <w:sz w:val="32"/>
          <w:szCs w:val="32"/>
        </w:rPr>
        <w:t>合规</w:t>
      </w:r>
      <w:r>
        <w:rPr>
          <w:rFonts w:ascii="仿宋" w:eastAsia="仿宋" w:hAnsi="仿宋" w:hint="eastAsia"/>
          <w:sz w:val="32"/>
          <w:szCs w:val="32"/>
        </w:rPr>
        <w:t>、</w:t>
      </w:r>
      <w:r w:rsidRPr="009E688D">
        <w:rPr>
          <w:rFonts w:ascii="仿宋" w:eastAsia="仿宋" w:hAnsi="仿宋" w:hint="eastAsia"/>
          <w:sz w:val="32"/>
          <w:szCs w:val="32"/>
        </w:rPr>
        <w:t>有效使用。对此，我们将在以后工作中认真研究，正确把握，加强</w:t>
      </w:r>
      <w:r>
        <w:rPr>
          <w:rFonts w:ascii="仿宋" w:eastAsia="仿宋" w:hAnsi="仿宋" w:hint="eastAsia"/>
          <w:sz w:val="32"/>
          <w:szCs w:val="32"/>
        </w:rPr>
        <w:t>与财政部门的紧密联系，开展好整体支出及项目资金绩效管理工作，运用好绩效评价的结果，不断提升预算管理水平</w:t>
      </w:r>
      <w:r w:rsidRPr="009E688D">
        <w:rPr>
          <w:rFonts w:ascii="仿宋" w:eastAsia="仿宋" w:hAnsi="仿宋" w:hint="eastAsia"/>
          <w:sz w:val="32"/>
          <w:szCs w:val="32"/>
        </w:rPr>
        <w:t>。</w:t>
      </w:r>
      <w:r w:rsidRPr="0030513E">
        <w:rPr>
          <w:rFonts w:ascii="仿宋" w:eastAsia="仿宋" w:hAnsi="仿宋" w:hint="eastAsia"/>
          <w:sz w:val="32"/>
          <w:szCs w:val="32"/>
        </w:rPr>
        <w:t>1、建立健全财政整体支出绩效评价制度,建立面向绩效评价的预算管理体系，并贯穿于预算编制、执行和绩效评价的整个过程中。2、加强财政整体支出绩效评价的培训和学习，从日常支出管理上逐步达到高等教育财政支出讲绩效、要绩效、有绩效的目的。</w:t>
      </w:r>
    </w:p>
    <w:p w:rsidR="00993675" w:rsidRDefault="00993675" w:rsidP="00993675">
      <w:pPr>
        <w:spacing w:line="600" w:lineRule="exact"/>
        <w:rPr>
          <w:rFonts w:ascii="仿宋" w:eastAsia="仿宋" w:hAnsi="仿宋"/>
          <w:sz w:val="32"/>
          <w:szCs w:val="32"/>
        </w:rPr>
      </w:pPr>
    </w:p>
    <w:p w:rsidR="00993675" w:rsidRDefault="00993675" w:rsidP="00102CF3">
      <w:pPr>
        <w:ind w:firstLineChars="2000" w:firstLine="6400"/>
        <w:rPr>
          <w:rFonts w:ascii="仿宋" w:eastAsia="仿宋" w:hAnsi="仿宋"/>
          <w:sz w:val="32"/>
          <w:szCs w:val="32"/>
        </w:rPr>
      </w:pPr>
      <w:r>
        <w:rPr>
          <w:rFonts w:ascii="仿宋" w:eastAsia="仿宋" w:hAnsi="仿宋" w:hint="eastAsia"/>
          <w:sz w:val="32"/>
          <w:szCs w:val="32"/>
        </w:rPr>
        <w:t>湖南财政经济学院</w:t>
      </w:r>
    </w:p>
    <w:p w:rsidR="00993675" w:rsidRDefault="00993675" w:rsidP="00102CF3">
      <w:pPr>
        <w:ind w:firstLineChars="2050" w:firstLine="6560"/>
        <w:rPr>
          <w:rFonts w:ascii="仿宋" w:eastAsia="仿宋" w:hAnsi="仿宋"/>
          <w:sz w:val="32"/>
          <w:szCs w:val="32"/>
        </w:rPr>
      </w:pPr>
      <w:r w:rsidRPr="00A71A12">
        <w:rPr>
          <w:rFonts w:ascii="仿宋" w:eastAsia="仿宋" w:hAnsi="仿宋" w:hint="eastAsia"/>
          <w:sz w:val="32"/>
          <w:szCs w:val="32"/>
        </w:rPr>
        <w:t>20</w:t>
      </w:r>
      <w:r>
        <w:rPr>
          <w:rFonts w:ascii="仿宋" w:eastAsia="仿宋" w:hAnsi="仿宋"/>
          <w:sz w:val="32"/>
          <w:szCs w:val="32"/>
        </w:rPr>
        <w:t>20</w:t>
      </w:r>
      <w:r w:rsidRPr="00A71A12">
        <w:rPr>
          <w:rFonts w:ascii="仿宋" w:eastAsia="仿宋" w:hAnsi="仿宋" w:hint="eastAsia"/>
          <w:sz w:val="32"/>
          <w:szCs w:val="32"/>
        </w:rPr>
        <w:t>年</w:t>
      </w:r>
      <w:r>
        <w:rPr>
          <w:rFonts w:ascii="仿宋" w:eastAsia="仿宋" w:hAnsi="仿宋"/>
          <w:sz w:val="32"/>
          <w:szCs w:val="32"/>
        </w:rPr>
        <w:t>5</w:t>
      </w:r>
      <w:r w:rsidRPr="00A71A12">
        <w:rPr>
          <w:rFonts w:ascii="仿宋" w:eastAsia="仿宋" w:hAnsi="仿宋" w:hint="eastAsia"/>
          <w:sz w:val="32"/>
          <w:szCs w:val="32"/>
        </w:rPr>
        <w:t>月</w:t>
      </w:r>
      <w:r>
        <w:rPr>
          <w:rFonts w:ascii="仿宋" w:eastAsia="仿宋" w:hAnsi="仿宋"/>
          <w:sz w:val="32"/>
          <w:szCs w:val="32"/>
        </w:rPr>
        <w:t>15</w:t>
      </w:r>
      <w:r w:rsidRPr="00A71A12">
        <w:rPr>
          <w:rFonts w:ascii="仿宋" w:eastAsia="仿宋" w:hAnsi="仿宋" w:hint="eastAsia"/>
          <w:sz w:val="32"/>
          <w:szCs w:val="32"/>
        </w:rPr>
        <w:t>日</w:t>
      </w:r>
    </w:p>
    <w:p w:rsidR="003C0489" w:rsidRPr="00993675" w:rsidRDefault="003C0489">
      <w:pPr>
        <w:ind w:firstLineChars="200" w:firstLine="640"/>
        <w:jc w:val="left"/>
        <w:rPr>
          <w:rFonts w:asciiTheme="minorEastAsia" w:hAnsiTheme="minorEastAsia" w:cs="黑体"/>
          <w:color w:val="000000"/>
          <w:kern w:val="0"/>
          <w:sz w:val="32"/>
          <w:szCs w:val="32"/>
        </w:rPr>
      </w:pPr>
    </w:p>
    <w:sectPr w:rsidR="003C0489" w:rsidRPr="00993675" w:rsidSect="004265A4">
      <w:pgSz w:w="11906" w:h="16838" w:code="9"/>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B43" w:rsidRDefault="00E40B43" w:rsidP="00987BAB">
      <w:r>
        <w:separator/>
      </w:r>
    </w:p>
  </w:endnote>
  <w:endnote w:type="continuationSeparator" w:id="1">
    <w:p w:rsidR="00E40B43" w:rsidRDefault="00E40B43" w:rsidP="00987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B43" w:rsidRDefault="00E40B43" w:rsidP="00987BAB">
      <w:r>
        <w:separator/>
      </w:r>
    </w:p>
  </w:footnote>
  <w:footnote w:type="continuationSeparator" w:id="1">
    <w:p w:rsidR="00E40B43" w:rsidRDefault="00E40B43" w:rsidP="00987B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2A8"/>
    <w:rsid w:val="000273BD"/>
    <w:rsid w:val="00031B23"/>
    <w:rsid w:val="00037040"/>
    <w:rsid w:val="000415B7"/>
    <w:rsid w:val="00041E3F"/>
    <w:rsid w:val="00055DAA"/>
    <w:rsid w:val="000574F3"/>
    <w:rsid w:val="00057D01"/>
    <w:rsid w:val="00060D7D"/>
    <w:rsid w:val="00061F7B"/>
    <w:rsid w:val="00062CA0"/>
    <w:rsid w:val="000658A3"/>
    <w:rsid w:val="00074155"/>
    <w:rsid w:val="0007477F"/>
    <w:rsid w:val="000A3F69"/>
    <w:rsid w:val="000C6A91"/>
    <w:rsid w:val="000F7F03"/>
    <w:rsid w:val="00102CF3"/>
    <w:rsid w:val="00103957"/>
    <w:rsid w:val="00124AFE"/>
    <w:rsid w:val="00152C6D"/>
    <w:rsid w:val="00162D39"/>
    <w:rsid w:val="001678BD"/>
    <w:rsid w:val="001A67DB"/>
    <w:rsid w:val="001B6E49"/>
    <w:rsid w:val="001C3C29"/>
    <w:rsid w:val="001C62FE"/>
    <w:rsid w:val="001D51E5"/>
    <w:rsid w:val="001E080D"/>
    <w:rsid w:val="001E53D0"/>
    <w:rsid w:val="001F0C3B"/>
    <w:rsid w:val="00200A25"/>
    <w:rsid w:val="00202C82"/>
    <w:rsid w:val="00214427"/>
    <w:rsid w:val="00226CB7"/>
    <w:rsid w:val="002276AE"/>
    <w:rsid w:val="00231352"/>
    <w:rsid w:val="00264552"/>
    <w:rsid w:val="00264E93"/>
    <w:rsid w:val="00264EF9"/>
    <w:rsid w:val="00265724"/>
    <w:rsid w:val="002700DA"/>
    <w:rsid w:val="0027426B"/>
    <w:rsid w:val="002B7B22"/>
    <w:rsid w:val="002C41CF"/>
    <w:rsid w:val="002E0A30"/>
    <w:rsid w:val="002F3504"/>
    <w:rsid w:val="003130C4"/>
    <w:rsid w:val="00316C4B"/>
    <w:rsid w:val="0032192B"/>
    <w:rsid w:val="00327CB7"/>
    <w:rsid w:val="00330341"/>
    <w:rsid w:val="003479BD"/>
    <w:rsid w:val="0036111A"/>
    <w:rsid w:val="0037197D"/>
    <w:rsid w:val="00373C38"/>
    <w:rsid w:val="003768D5"/>
    <w:rsid w:val="00391AC8"/>
    <w:rsid w:val="003922A3"/>
    <w:rsid w:val="00392795"/>
    <w:rsid w:val="003C0489"/>
    <w:rsid w:val="003C47E6"/>
    <w:rsid w:val="003C4FC2"/>
    <w:rsid w:val="003D1577"/>
    <w:rsid w:val="003E0AE8"/>
    <w:rsid w:val="003F4A3E"/>
    <w:rsid w:val="003F68E5"/>
    <w:rsid w:val="00416E61"/>
    <w:rsid w:val="004265A4"/>
    <w:rsid w:val="0042790C"/>
    <w:rsid w:val="004506F9"/>
    <w:rsid w:val="004717A2"/>
    <w:rsid w:val="00472C24"/>
    <w:rsid w:val="00473DF3"/>
    <w:rsid w:val="00487911"/>
    <w:rsid w:val="00491741"/>
    <w:rsid w:val="004A3C66"/>
    <w:rsid w:val="004B36F9"/>
    <w:rsid w:val="004C5A79"/>
    <w:rsid w:val="005006C9"/>
    <w:rsid w:val="00500E5F"/>
    <w:rsid w:val="005020E1"/>
    <w:rsid w:val="005122EF"/>
    <w:rsid w:val="0051441A"/>
    <w:rsid w:val="00517C33"/>
    <w:rsid w:val="00523644"/>
    <w:rsid w:val="00537720"/>
    <w:rsid w:val="00540254"/>
    <w:rsid w:val="0054069E"/>
    <w:rsid w:val="00542858"/>
    <w:rsid w:val="00544866"/>
    <w:rsid w:val="005566D4"/>
    <w:rsid w:val="00561FE2"/>
    <w:rsid w:val="005767CC"/>
    <w:rsid w:val="00590D9F"/>
    <w:rsid w:val="00595D26"/>
    <w:rsid w:val="005A642F"/>
    <w:rsid w:val="005A74E6"/>
    <w:rsid w:val="005B404E"/>
    <w:rsid w:val="005D1925"/>
    <w:rsid w:val="005D4D55"/>
    <w:rsid w:val="005E2CFB"/>
    <w:rsid w:val="005F3D1C"/>
    <w:rsid w:val="0062378F"/>
    <w:rsid w:val="00641002"/>
    <w:rsid w:val="00641842"/>
    <w:rsid w:val="00651EEC"/>
    <w:rsid w:val="0065765A"/>
    <w:rsid w:val="00672A1E"/>
    <w:rsid w:val="0067602F"/>
    <w:rsid w:val="00691E8C"/>
    <w:rsid w:val="006A22C4"/>
    <w:rsid w:val="006A351B"/>
    <w:rsid w:val="006B0422"/>
    <w:rsid w:val="006C1B53"/>
    <w:rsid w:val="006D0AB3"/>
    <w:rsid w:val="006D3EDD"/>
    <w:rsid w:val="006D7730"/>
    <w:rsid w:val="006E5284"/>
    <w:rsid w:val="006F3381"/>
    <w:rsid w:val="006F3EB5"/>
    <w:rsid w:val="00702E34"/>
    <w:rsid w:val="00704395"/>
    <w:rsid w:val="00717621"/>
    <w:rsid w:val="00720D29"/>
    <w:rsid w:val="00720FF1"/>
    <w:rsid w:val="00727A53"/>
    <w:rsid w:val="00751F98"/>
    <w:rsid w:val="00787B42"/>
    <w:rsid w:val="007C4539"/>
    <w:rsid w:val="007D6236"/>
    <w:rsid w:val="007E12AC"/>
    <w:rsid w:val="007F0CFA"/>
    <w:rsid w:val="007F3657"/>
    <w:rsid w:val="00812ED5"/>
    <w:rsid w:val="0081315B"/>
    <w:rsid w:val="008277D9"/>
    <w:rsid w:val="0084478C"/>
    <w:rsid w:val="008536DF"/>
    <w:rsid w:val="0086638C"/>
    <w:rsid w:val="00884CC5"/>
    <w:rsid w:val="008A3E8D"/>
    <w:rsid w:val="008E7C46"/>
    <w:rsid w:val="008F4AC2"/>
    <w:rsid w:val="00906460"/>
    <w:rsid w:val="009237C4"/>
    <w:rsid w:val="00932E9F"/>
    <w:rsid w:val="00941668"/>
    <w:rsid w:val="00941C12"/>
    <w:rsid w:val="00944C48"/>
    <w:rsid w:val="00950252"/>
    <w:rsid w:val="00967CF8"/>
    <w:rsid w:val="00967F5D"/>
    <w:rsid w:val="009824C1"/>
    <w:rsid w:val="00987BAB"/>
    <w:rsid w:val="00990357"/>
    <w:rsid w:val="0099114C"/>
    <w:rsid w:val="00993675"/>
    <w:rsid w:val="009A0F95"/>
    <w:rsid w:val="009B3ADF"/>
    <w:rsid w:val="009C3B52"/>
    <w:rsid w:val="009C45BB"/>
    <w:rsid w:val="009E6817"/>
    <w:rsid w:val="009E6E9A"/>
    <w:rsid w:val="00A01D2B"/>
    <w:rsid w:val="00A14615"/>
    <w:rsid w:val="00A42218"/>
    <w:rsid w:val="00A5122C"/>
    <w:rsid w:val="00A70249"/>
    <w:rsid w:val="00A7029C"/>
    <w:rsid w:val="00A70B02"/>
    <w:rsid w:val="00A71D9F"/>
    <w:rsid w:val="00A81097"/>
    <w:rsid w:val="00A92E9F"/>
    <w:rsid w:val="00A95D5C"/>
    <w:rsid w:val="00AA2759"/>
    <w:rsid w:val="00AB4F8B"/>
    <w:rsid w:val="00AF181F"/>
    <w:rsid w:val="00B10FDA"/>
    <w:rsid w:val="00B1298D"/>
    <w:rsid w:val="00B1338E"/>
    <w:rsid w:val="00B15D66"/>
    <w:rsid w:val="00B24EFE"/>
    <w:rsid w:val="00B251C5"/>
    <w:rsid w:val="00B33BEA"/>
    <w:rsid w:val="00B3762E"/>
    <w:rsid w:val="00B52656"/>
    <w:rsid w:val="00B57C9F"/>
    <w:rsid w:val="00B60816"/>
    <w:rsid w:val="00B63572"/>
    <w:rsid w:val="00B845B3"/>
    <w:rsid w:val="00B85D8B"/>
    <w:rsid w:val="00B86250"/>
    <w:rsid w:val="00BA2612"/>
    <w:rsid w:val="00BB4A40"/>
    <w:rsid w:val="00BD6C3E"/>
    <w:rsid w:val="00BE3674"/>
    <w:rsid w:val="00C10681"/>
    <w:rsid w:val="00C17B8A"/>
    <w:rsid w:val="00C272D0"/>
    <w:rsid w:val="00C3049A"/>
    <w:rsid w:val="00C31B1E"/>
    <w:rsid w:val="00C52C31"/>
    <w:rsid w:val="00C53EE2"/>
    <w:rsid w:val="00C54217"/>
    <w:rsid w:val="00C77645"/>
    <w:rsid w:val="00C921DC"/>
    <w:rsid w:val="00C938DA"/>
    <w:rsid w:val="00CA3405"/>
    <w:rsid w:val="00CE04C3"/>
    <w:rsid w:val="00CE76A0"/>
    <w:rsid w:val="00D0459A"/>
    <w:rsid w:val="00D148C6"/>
    <w:rsid w:val="00D17A8A"/>
    <w:rsid w:val="00D415BA"/>
    <w:rsid w:val="00D50316"/>
    <w:rsid w:val="00D644EE"/>
    <w:rsid w:val="00D746DA"/>
    <w:rsid w:val="00DD06FF"/>
    <w:rsid w:val="00DD5FE9"/>
    <w:rsid w:val="00E00C7A"/>
    <w:rsid w:val="00E06A6F"/>
    <w:rsid w:val="00E37D6C"/>
    <w:rsid w:val="00E40B43"/>
    <w:rsid w:val="00E55523"/>
    <w:rsid w:val="00E55B68"/>
    <w:rsid w:val="00E67BE6"/>
    <w:rsid w:val="00E70692"/>
    <w:rsid w:val="00E8683C"/>
    <w:rsid w:val="00EA2B72"/>
    <w:rsid w:val="00EB5820"/>
    <w:rsid w:val="00EC5BF7"/>
    <w:rsid w:val="00EE26C5"/>
    <w:rsid w:val="00F16204"/>
    <w:rsid w:val="00F2717B"/>
    <w:rsid w:val="00F74360"/>
    <w:rsid w:val="00FB462F"/>
    <w:rsid w:val="00FD5B66"/>
    <w:rsid w:val="00FE16FA"/>
    <w:rsid w:val="00FE328A"/>
    <w:rsid w:val="00FE6269"/>
    <w:rsid w:val="00FE78C1"/>
    <w:rsid w:val="39807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C0489"/>
    <w:rPr>
      <w:sz w:val="18"/>
      <w:szCs w:val="18"/>
    </w:rPr>
  </w:style>
  <w:style w:type="paragraph" w:styleId="a4">
    <w:name w:val="footer"/>
    <w:basedOn w:val="a"/>
    <w:link w:val="Char0"/>
    <w:uiPriority w:val="99"/>
    <w:unhideWhenUsed/>
    <w:rsid w:val="003C0489"/>
    <w:pPr>
      <w:tabs>
        <w:tab w:val="center" w:pos="4153"/>
        <w:tab w:val="right" w:pos="8306"/>
      </w:tabs>
      <w:snapToGrid w:val="0"/>
      <w:jc w:val="left"/>
    </w:pPr>
    <w:rPr>
      <w:sz w:val="18"/>
      <w:szCs w:val="18"/>
    </w:rPr>
  </w:style>
  <w:style w:type="paragraph" w:styleId="a5">
    <w:name w:val="header"/>
    <w:basedOn w:val="a"/>
    <w:link w:val="Char1"/>
    <w:uiPriority w:val="99"/>
    <w:unhideWhenUsed/>
    <w:rsid w:val="003C04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C0489"/>
    <w:rPr>
      <w:sz w:val="18"/>
      <w:szCs w:val="18"/>
    </w:rPr>
  </w:style>
  <w:style w:type="character" w:customStyle="1" w:styleId="Char0">
    <w:name w:val="页脚 Char"/>
    <w:basedOn w:val="a0"/>
    <w:link w:val="a4"/>
    <w:uiPriority w:val="99"/>
    <w:rsid w:val="003C0489"/>
    <w:rPr>
      <w:sz w:val="18"/>
      <w:szCs w:val="18"/>
    </w:rPr>
  </w:style>
  <w:style w:type="paragraph" w:customStyle="1" w:styleId="Default">
    <w:name w:val="Default"/>
    <w:rsid w:val="003C0489"/>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3C0489"/>
    <w:pPr>
      <w:ind w:firstLineChars="200" w:firstLine="420"/>
    </w:pPr>
  </w:style>
  <w:style w:type="character" w:customStyle="1" w:styleId="Char">
    <w:name w:val="批注框文本 Char"/>
    <w:basedOn w:val="a0"/>
    <w:link w:val="a3"/>
    <w:uiPriority w:val="99"/>
    <w:semiHidden/>
    <w:rsid w:val="003C0489"/>
    <w:rPr>
      <w:sz w:val="18"/>
      <w:szCs w:val="18"/>
    </w:rPr>
  </w:style>
  <w:style w:type="paragraph" w:styleId="a7">
    <w:name w:val="Normal (Web)"/>
    <w:basedOn w:val="a"/>
    <w:uiPriority w:val="99"/>
    <w:unhideWhenUsed/>
    <w:qFormat/>
    <w:rsid w:val="00F1620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6266354">
      <w:bodyDiv w:val="1"/>
      <w:marLeft w:val="0"/>
      <w:marRight w:val="0"/>
      <w:marTop w:val="0"/>
      <w:marBottom w:val="0"/>
      <w:divBdr>
        <w:top w:val="none" w:sz="0" w:space="0" w:color="auto"/>
        <w:left w:val="none" w:sz="0" w:space="0" w:color="auto"/>
        <w:bottom w:val="none" w:sz="0" w:space="0" w:color="auto"/>
        <w:right w:val="none" w:sz="0" w:space="0" w:color="auto"/>
      </w:divBdr>
    </w:div>
    <w:div w:id="218328018">
      <w:bodyDiv w:val="1"/>
      <w:marLeft w:val="0"/>
      <w:marRight w:val="0"/>
      <w:marTop w:val="0"/>
      <w:marBottom w:val="0"/>
      <w:divBdr>
        <w:top w:val="none" w:sz="0" w:space="0" w:color="auto"/>
        <w:left w:val="none" w:sz="0" w:space="0" w:color="auto"/>
        <w:bottom w:val="none" w:sz="0" w:space="0" w:color="auto"/>
        <w:right w:val="none" w:sz="0" w:space="0" w:color="auto"/>
      </w:divBdr>
    </w:div>
    <w:div w:id="266818246">
      <w:bodyDiv w:val="1"/>
      <w:marLeft w:val="0"/>
      <w:marRight w:val="0"/>
      <w:marTop w:val="0"/>
      <w:marBottom w:val="0"/>
      <w:divBdr>
        <w:top w:val="none" w:sz="0" w:space="0" w:color="auto"/>
        <w:left w:val="none" w:sz="0" w:space="0" w:color="auto"/>
        <w:bottom w:val="none" w:sz="0" w:space="0" w:color="auto"/>
        <w:right w:val="none" w:sz="0" w:space="0" w:color="auto"/>
      </w:divBdr>
    </w:div>
    <w:div w:id="327640094">
      <w:bodyDiv w:val="1"/>
      <w:marLeft w:val="0"/>
      <w:marRight w:val="0"/>
      <w:marTop w:val="0"/>
      <w:marBottom w:val="0"/>
      <w:divBdr>
        <w:top w:val="none" w:sz="0" w:space="0" w:color="auto"/>
        <w:left w:val="none" w:sz="0" w:space="0" w:color="auto"/>
        <w:bottom w:val="none" w:sz="0" w:space="0" w:color="auto"/>
        <w:right w:val="none" w:sz="0" w:space="0" w:color="auto"/>
      </w:divBdr>
    </w:div>
    <w:div w:id="341661861">
      <w:bodyDiv w:val="1"/>
      <w:marLeft w:val="0"/>
      <w:marRight w:val="0"/>
      <w:marTop w:val="0"/>
      <w:marBottom w:val="0"/>
      <w:divBdr>
        <w:top w:val="none" w:sz="0" w:space="0" w:color="auto"/>
        <w:left w:val="none" w:sz="0" w:space="0" w:color="auto"/>
        <w:bottom w:val="none" w:sz="0" w:space="0" w:color="auto"/>
        <w:right w:val="none" w:sz="0" w:space="0" w:color="auto"/>
      </w:divBdr>
    </w:div>
    <w:div w:id="361175844">
      <w:bodyDiv w:val="1"/>
      <w:marLeft w:val="0"/>
      <w:marRight w:val="0"/>
      <w:marTop w:val="0"/>
      <w:marBottom w:val="0"/>
      <w:divBdr>
        <w:top w:val="none" w:sz="0" w:space="0" w:color="auto"/>
        <w:left w:val="none" w:sz="0" w:space="0" w:color="auto"/>
        <w:bottom w:val="none" w:sz="0" w:space="0" w:color="auto"/>
        <w:right w:val="none" w:sz="0" w:space="0" w:color="auto"/>
      </w:divBdr>
    </w:div>
    <w:div w:id="379868401">
      <w:bodyDiv w:val="1"/>
      <w:marLeft w:val="0"/>
      <w:marRight w:val="0"/>
      <w:marTop w:val="0"/>
      <w:marBottom w:val="0"/>
      <w:divBdr>
        <w:top w:val="none" w:sz="0" w:space="0" w:color="auto"/>
        <w:left w:val="none" w:sz="0" w:space="0" w:color="auto"/>
        <w:bottom w:val="none" w:sz="0" w:space="0" w:color="auto"/>
        <w:right w:val="none" w:sz="0" w:space="0" w:color="auto"/>
      </w:divBdr>
    </w:div>
    <w:div w:id="441459016">
      <w:bodyDiv w:val="1"/>
      <w:marLeft w:val="0"/>
      <w:marRight w:val="0"/>
      <w:marTop w:val="0"/>
      <w:marBottom w:val="0"/>
      <w:divBdr>
        <w:top w:val="none" w:sz="0" w:space="0" w:color="auto"/>
        <w:left w:val="none" w:sz="0" w:space="0" w:color="auto"/>
        <w:bottom w:val="none" w:sz="0" w:space="0" w:color="auto"/>
        <w:right w:val="none" w:sz="0" w:space="0" w:color="auto"/>
      </w:divBdr>
    </w:div>
    <w:div w:id="513805637">
      <w:bodyDiv w:val="1"/>
      <w:marLeft w:val="0"/>
      <w:marRight w:val="0"/>
      <w:marTop w:val="0"/>
      <w:marBottom w:val="0"/>
      <w:divBdr>
        <w:top w:val="none" w:sz="0" w:space="0" w:color="auto"/>
        <w:left w:val="none" w:sz="0" w:space="0" w:color="auto"/>
        <w:bottom w:val="none" w:sz="0" w:space="0" w:color="auto"/>
        <w:right w:val="none" w:sz="0" w:space="0" w:color="auto"/>
      </w:divBdr>
    </w:div>
    <w:div w:id="672882936">
      <w:bodyDiv w:val="1"/>
      <w:marLeft w:val="0"/>
      <w:marRight w:val="0"/>
      <w:marTop w:val="0"/>
      <w:marBottom w:val="0"/>
      <w:divBdr>
        <w:top w:val="none" w:sz="0" w:space="0" w:color="auto"/>
        <w:left w:val="none" w:sz="0" w:space="0" w:color="auto"/>
        <w:bottom w:val="none" w:sz="0" w:space="0" w:color="auto"/>
        <w:right w:val="none" w:sz="0" w:space="0" w:color="auto"/>
      </w:divBdr>
    </w:div>
    <w:div w:id="823742281">
      <w:bodyDiv w:val="1"/>
      <w:marLeft w:val="0"/>
      <w:marRight w:val="0"/>
      <w:marTop w:val="0"/>
      <w:marBottom w:val="0"/>
      <w:divBdr>
        <w:top w:val="none" w:sz="0" w:space="0" w:color="auto"/>
        <w:left w:val="none" w:sz="0" w:space="0" w:color="auto"/>
        <w:bottom w:val="none" w:sz="0" w:space="0" w:color="auto"/>
        <w:right w:val="none" w:sz="0" w:space="0" w:color="auto"/>
      </w:divBdr>
    </w:div>
    <w:div w:id="943421438">
      <w:bodyDiv w:val="1"/>
      <w:marLeft w:val="0"/>
      <w:marRight w:val="0"/>
      <w:marTop w:val="0"/>
      <w:marBottom w:val="0"/>
      <w:divBdr>
        <w:top w:val="none" w:sz="0" w:space="0" w:color="auto"/>
        <w:left w:val="none" w:sz="0" w:space="0" w:color="auto"/>
        <w:bottom w:val="none" w:sz="0" w:space="0" w:color="auto"/>
        <w:right w:val="none" w:sz="0" w:space="0" w:color="auto"/>
      </w:divBdr>
    </w:div>
    <w:div w:id="1009408973">
      <w:bodyDiv w:val="1"/>
      <w:marLeft w:val="0"/>
      <w:marRight w:val="0"/>
      <w:marTop w:val="0"/>
      <w:marBottom w:val="0"/>
      <w:divBdr>
        <w:top w:val="none" w:sz="0" w:space="0" w:color="auto"/>
        <w:left w:val="none" w:sz="0" w:space="0" w:color="auto"/>
        <w:bottom w:val="none" w:sz="0" w:space="0" w:color="auto"/>
        <w:right w:val="none" w:sz="0" w:space="0" w:color="auto"/>
      </w:divBdr>
    </w:div>
    <w:div w:id="1060130605">
      <w:bodyDiv w:val="1"/>
      <w:marLeft w:val="0"/>
      <w:marRight w:val="0"/>
      <w:marTop w:val="0"/>
      <w:marBottom w:val="0"/>
      <w:divBdr>
        <w:top w:val="none" w:sz="0" w:space="0" w:color="auto"/>
        <w:left w:val="none" w:sz="0" w:space="0" w:color="auto"/>
        <w:bottom w:val="none" w:sz="0" w:space="0" w:color="auto"/>
        <w:right w:val="none" w:sz="0" w:space="0" w:color="auto"/>
      </w:divBdr>
    </w:div>
    <w:div w:id="1106660453">
      <w:bodyDiv w:val="1"/>
      <w:marLeft w:val="0"/>
      <w:marRight w:val="0"/>
      <w:marTop w:val="0"/>
      <w:marBottom w:val="0"/>
      <w:divBdr>
        <w:top w:val="none" w:sz="0" w:space="0" w:color="auto"/>
        <w:left w:val="none" w:sz="0" w:space="0" w:color="auto"/>
        <w:bottom w:val="none" w:sz="0" w:space="0" w:color="auto"/>
        <w:right w:val="none" w:sz="0" w:space="0" w:color="auto"/>
      </w:divBdr>
    </w:div>
    <w:div w:id="1137064484">
      <w:bodyDiv w:val="1"/>
      <w:marLeft w:val="0"/>
      <w:marRight w:val="0"/>
      <w:marTop w:val="0"/>
      <w:marBottom w:val="0"/>
      <w:divBdr>
        <w:top w:val="none" w:sz="0" w:space="0" w:color="auto"/>
        <w:left w:val="none" w:sz="0" w:space="0" w:color="auto"/>
        <w:bottom w:val="none" w:sz="0" w:space="0" w:color="auto"/>
        <w:right w:val="none" w:sz="0" w:space="0" w:color="auto"/>
      </w:divBdr>
    </w:div>
    <w:div w:id="1166479533">
      <w:bodyDiv w:val="1"/>
      <w:marLeft w:val="0"/>
      <w:marRight w:val="0"/>
      <w:marTop w:val="0"/>
      <w:marBottom w:val="0"/>
      <w:divBdr>
        <w:top w:val="none" w:sz="0" w:space="0" w:color="auto"/>
        <w:left w:val="none" w:sz="0" w:space="0" w:color="auto"/>
        <w:bottom w:val="none" w:sz="0" w:space="0" w:color="auto"/>
        <w:right w:val="none" w:sz="0" w:space="0" w:color="auto"/>
      </w:divBdr>
    </w:div>
    <w:div w:id="1216771151">
      <w:bodyDiv w:val="1"/>
      <w:marLeft w:val="0"/>
      <w:marRight w:val="0"/>
      <w:marTop w:val="0"/>
      <w:marBottom w:val="0"/>
      <w:divBdr>
        <w:top w:val="none" w:sz="0" w:space="0" w:color="auto"/>
        <w:left w:val="none" w:sz="0" w:space="0" w:color="auto"/>
        <w:bottom w:val="none" w:sz="0" w:space="0" w:color="auto"/>
        <w:right w:val="none" w:sz="0" w:space="0" w:color="auto"/>
      </w:divBdr>
    </w:div>
    <w:div w:id="1217668880">
      <w:bodyDiv w:val="1"/>
      <w:marLeft w:val="0"/>
      <w:marRight w:val="0"/>
      <w:marTop w:val="0"/>
      <w:marBottom w:val="0"/>
      <w:divBdr>
        <w:top w:val="none" w:sz="0" w:space="0" w:color="auto"/>
        <w:left w:val="none" w:sz="0" w:space="0" w:color="auto"/>
        <w:bottom w:val="none" w:sz="0" w:space="0" w:color="auto"/>
        <w:right w:val="none" w:sz="0" w:space="0" w:color="auto"/>
      </w:divBdr>
    </w:div>
    <w:div w:id="1292784588">
      <w:bodyDiv w:val="1"/>
      <w:marLeft w:val="0"/>
      <w:marRight w:val="0"/>
      <w:marTop w:val="0"/>
      <w:marBottom w:val="0"/>
      <w:divBdr>
        <w:top w:val="none" w:sz="0" w:space="0" w:color="auto"/>
        <w:left w:val="none" w:sz="0" w:space="0" w:color="auto"/>
        <w:bottom w:val="none" w:sz="0" w:space="0" w:color="auto"/>
        <w:right w:val="none" w:sz="0" w:space="0" w:color="auto"/>
      </w:divBdr>
    </w:div>
    <w:div w:id="1323897468">
      <w:bodyDiv w:val="1"/>
      <w:marLeft w:val="0"/>
      <w:marRight w:val="0"/>
      <w:marTop w:val="0"/>
      <w:marBottom w:val="0"/>
      <w:divBdr>
        <w:top w:val="none" w:sz="0" w:space="0" w:color="auto"/>
        <w:left w:val="none" w:sz="0" w:space="0" w:color="auto"/>
        <w:bottom w:val="none" w:sz="0" w:space="0" w:color="auto"/>
        <w:right w:val="none" w:sz="0" w:space="0" w:color="auto"/>
      </w:divBdr>
    </w:div>
    <w:div w:id="1329938775">
      <w:bodyDiv w:val="1"/>
      <w:marLeft w:val="0"/>
      <w:marRight w:val="0"/>
      <w:marTop w:val="0"/>
      <w:marBottom w:val="0"/>
      <w:divBdr>
        <w:top w:val="none" w:sz="0" w:space="0" w:color="auto"/>
        <w:left w:val="none" w:sz="0" w:space="0" w:color="auto"/>
        <w:bottom w:val="none" w:sz="0" w:space="0" w:color="auto"/>
        <w:right w:val="none" w:sz="0" w:space="0" w:color="auto"/>
      </w:divBdr>
    </w:div>
    <w:div w:id="1382898763">
      <w:bodyDiv w:val="1"/>
      <w:marLeft w:val="0"/>
      <w:marRight w:val="0"/>
      <w:marTop w:val="0"/>
      <w:marBottom w:val="0"/>
      <w:divBdr>
        <w:top w:val="none" w:sz="0" w:space="0" w:color="auto"/>
        <w:left w:val="none" w:sz="0" w:space="0" w:color="auto"/>
        <w:bottom w:val="none" w:sz="0" w:space="0" w:color="auto"/>
        <w:right w:val="none" w:sz="0" w:space="0" w:color="auto"/>
      </w:divBdr>
    </w:div>
    <w:div w:id="1600602883">
      <w:bodyDiv w:val="1"/>
      <w:marLeft w:val="0"/>
      <w:marRight w:val="0"/>
      <w:marTop w:val="0"/>
      <w:marBottom w:val="0"/>
      <w:divBdr>
        <w:top w:val="none" w:sz="0" w:space="0" w:color="auto"/>
        <w:left w:val="none" w:sz="0" w:space="0" w:color="auto"/>
        <w:bottom w:val="none" w:sz="0" w:space="0" w:color="auto"/>
        <w:right w:val="none" w:sz="0" w:space="0" w:color="auto"/>
      </w:divBdr>
    </w:div>
    <w:div w:id="1659263875">
      <w:bodyDiv w:val="1"/>
      <w:marLeft w:val="0"/>
      <w:marRight w:val="0"/>
      <w:marTop w:val="0"/>
      <w:marBottom w:val="0"/>
      <w:divBdr>
        <w:top w:val="none" w:sz="0" w:space="0" w:color="auto"/>
        <w:left w:val="none" w:sz="0" w:space="0" w:color="auto"/>
        <w:bottom w:val="none" w:sz="0" w:space="0" w:color="auto"/>
        <w:right w:val="none" w:sz="0" w:space="0" w:color="auto"/>
      </w:divBdr>
    </w:div>
    <w:div w:id="1716611906">
      <w:bodyDiv w:val="1"/>
      <w:marLeft w:val="0"/>
      <w:marRight w:val="0"/>
      <w:marTop w:val="0"/>
      <w:marBottom w:val="0"/>
      <w:divBdr>
        <w:top w:val="none" w:sz="0" w:space="0" w:color="auto"/>
        <w:left w:val="none" w:sz="0" w:space="0" w:color="auto"/>
        <w:bottom w:val="none" w:sz="0" w:space="0" w:color="auto"/>
        <w:right w:val="none" w:sz="0" w:space="0" w:color="auto"/>
      </w:divBdr>
    </w:div>
    <w:div w:id="1737436316">
      <w:bodyDiv w:val="1"/>
      <w:marLeft w:val="0"/>
      <w:marRight w:val="0"/>
      <w:marTop w:val="0"/>
      <w:marBottom w:val="0"/>
      <w:divBdr>
        <w:top w:val="none" w:sz="0" w:space="0" w:color="auto"/>
        <w:left w:val="none" w:sz="0" w:space="0" w:color="auto"/>
        <w:bottom w:val="none" w:sz="0" w:space="0" w:color="auto"/>
        <w:right w:val="none" w:sz="0" w:space="0" w:color="auto"/>
      </w:divBdr>
    </w:div>
    <w:div w:id="1804735615">
      <w:bodyDiv w:val="1"/>
      <w:marLeft w:val="0"/>
      <w:marRight w:val="0"/>
      <w:marTop w:val="0"/>
      <w:marBottom w:val="0"/>
      <w:divBdr>
        <w:top w:val="none" w:sz="0" w:space="0" w:color="auto"/>
        <w:left w:val="none" w:sz="0" w:space="0" w:color="auto"/>
        <w:bottom w:val="none" w:sz="0" w:space="0" w:color="auto"/>
        <w:right w:val="none" w:sz="0" w:space="0" w:color="auto"/>
      </w:divBdr>
    </w:div>
    <w:div w:id="1867912200">
      <w:bodyDiv w:val="1"/>
      <w:marLeft w:val="0"/>
      <w:marRight w:val="0"/>
      <w:marTop w:val="0"/>
      <w:marBottom w:val="0"/>
      <w:divBdr>
        <w:top w:val="none" w:sz="0" w:space="0" w:color="auto"/>
        <w:left w:val="none" w:sz="0" w:space="0" w:color="auto"/>
        <w:bottom w:val="none" w:sz="0" w:space="0" w:color="auto"/>
        <w:right w:val="none" w:sz="0" w:space="0" w:color="auto"/>
      </w:divBdr>
    </w:div>
    <w:div w:id="1915578558">
      <w:bodyDiv w:val="1"/>
      <w:marLeft w:val="0"/>
      <w:marRight w:val="0"/>
      <w:marTop w:val="0"/>
      <w:marBottom w:val="0"/>
      <w:divBdr>
        <w:top w:val="none" w:sz="0" w:space="0" w:color="auto"/>
        <w:left w:val="none" w:sz="0" w:space="0" w:color="auto"/>
        <w:bottom w:val="none" w:sz="0" w:space="0" w:color="auto"/>
        <w:right w:val="none" w:sz="0" w:space="0" w:color="auto"/>
      </w:divBdr>
    </w:div>
    <w:div w:id="1989892054">
      <w:bodyDiv w:val="1"/>
      <w:marLeft w:val="0"/>
      <w:marRight w:val="0"/>
      <w:marTop w:val="0"/>
      <w:marBottom w:val="0"/>
      <w:divBdr>
        <w:top w:val="none" w:sz="0" w:space="0" w:color="auto"/>
        <w:left w:val="none" w:sz="0" w:space="0" w:color="auto"/>
        <w:bottom w:val="none" w:sz="0" w:space="0" w:color="auto"/>
        <w:right w:val="none" w:sz="0" w:space="0" w:color="auto"/>
      </w:divBdr>
    </w:div>
    <w:div w:id="2071297498">
      <w:bodyDiv w:val="1"/>
      <w:marLeft w:val="0"/>
      <w:marRight w:val="0"/>
      <w:marTop w:val="0"/>
      <w:marBottom w:val="0"/>
      <w:divBdr>
        <w:top w:val="none" w:sz="0" w:space="0" w:color="auto"/>
        <w:left w:val="none" w:sz="0" w:space="0" w:color="auto"/>
        <w:bottom w:val="none" w:sz="0" w:space="0" w:color="auto"/>
        <w:right w:val="none" w:sz="0" w:space="0" w:color="auto"/>
      </w:divBdr>
    </w:div>
    <w:div w:id="2123301548">
      <w:bodyDiv w:val="1"/>
      <w:marLeft w:val="0"/>
      <w:marRight w:val="0"/>
      <w:marTop w:val="0"/>
      <w:marBottom w:val="0"/>
      <w:divBdr>
        <w:top w:val="none" w:sz="0" w:space="0" w:color="auto"/>
        <w:left w:val="none" w:sz="0" w:space="0" w:color="auto"/>
        <w:bottom w:val="none" w:sz="0" w:space="0" w:color="auto"/>
        <w:right w:val="none" w:sz="0" w:space="0" w:color="auto"/>
      </w:divBdr>
    </w:div>
    <w:div w:id="214291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B29F3C5-7DF8-4F17-84C0-5D9B011189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39</Pages>
  <Words>4296</Words>
  <Characters>24490</Characters>
  <Application>Microsoft Office Word</Application>
  <DocSecurity>0</DocSecurity>
  <Lines>204</Lines>
  <Paragraphs>57</Paragraphs>
  <ScaleCrop>false</ScaleCrop>
  <Company>Microsoft</Company>
  <LinksUpToDate>false</LinksUpToDate>
  <CharactersWithSpaces>28729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何凤</cp:lastModifiedBy>
  <cp:revision>201</cp:revision>
  <cp:lastPrinted>2021-07-28T00:12:00Z</cp:lastPrinted>
  <dcterms:created xsi:type="dcterms:W3CDTF">2020-07-02T02:32:00Z</dcterms:created>
  <dcterms:modified xsi:type="dcterms:W3CDTF">2022-09-08T01:58:00Z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