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450" w:beforeAutospacing="0" w:line="480" w:lineRule="exact"/>
        <w:jc w:val="center"/>
        <w:rPr>
          <w:rFonts w:ascii="微软雅黑" w:hAnsi="微软雅黑" w:eastAsia="微软雅黑" w:cs="微软雅黑"/>
          <w:color w:val="auto"/>
          <w:sz w:val="36"/>
          <w:szCs w:val="36"/>
          <w:shd w:val="clear" w:color="auto" w:fill="FFFFFF"/>
        </w:rPr>
      </w:pPr>
      <w:r>
        <w:rPr>
          <w:rFonts w:hint="eastAsia" w:ascii="微软雅黑" w:hAnsi="微软雅黑" w:eastAsia="微软雅黑" w:cs="微软雅黑"/>
          <w:color w:val="auto"/>
          <w:sz w:val="36"/>
          <w:szCs w:val="36"/>
          <w:shd w:val="clear" w:color="auto" w:fill="FFFFFF"/>
        </w:rPr>
        <w:t>湖南财政经济学院财政金融学院</w:t>
      </w:r>
    </w:p>
    <w:p>
      <w:pPr>
        <w:pStyle w:val="2"/>
        <w:widowControl/>
        <w:shd w:val="clear" w:color="auto" w:fill="FFFFFF"/>
        <w:spacing w:before="450" w:beforeAutospacing="0" w:line="480" w:lineRule="exact"/>
        <w:jc w:val="center"/>
        <w:rPr>
          <w:rFonts w:ascii="微软雅黑" w:hAnsi="微软雅黑" w:eastAsia="微软雅黑" w:cs="微软雅黑"/>
          <w:color w:val="auto"/>
          <w:sz w:val="36"/>
          <w:szCs w:val="36"/>
        </w:rPr>
      </w:pPr>
      <w:r>
        <w:rPr>
          <w:rFonts w:hint="eastAsia" w:ascii="微软雅黑" w:hAnsi="微软雅黑" w:eastAsia="微软雅黑" w:cs="微软雅黑"/>
          <w:color w:val="auto"/>
          <w:sz w:val="36"/>
          <w:szCs w:val="36"/>
          <w:shd w:val="clear" w:color="auto" w:fill="FFFFFF"/>
        </w:rPr>
        <w:t>2020年金融学专业(CFA</w:t>
      </w:r>
      <w:r>
        <w:rPr>
          <w:rFonts w:ascii="Arial" w:hAnsi="Arial" w:eastAsia="微软雅黑" w:cs="Arial"/>
          <w:color w:val="auto"/>
          <w:sz w:val="36"/>
          <w:szCs w:val="36"/>
          <w:shd w:val="clear" w:color="auto" w:fill="FFFFFF"/>
          <w:vertAlign w:val="superscript"/>
        </w:rPr>
        <w:t>®</w:t>
      </w:r>
      <w:r>
        <w:rPr>
          <w:rFonts w:hint="eastAsia" w:ascii="微软雅黑" w:hAnsi="微软雅黑" w:eastAsia="微软雅黑" w:cs="微软雅黑"/>
          <w:color w:val="auto"/>
          <w:sz w:val="36"/>
          <w:szCs w:val="36"/>
          <w:shd w:val="clear" w:color="auto" w:fill="FFFFFF"/>
        </w:rPr>
        <w:t>&amp;FRM</w:t>
      </w:r>
      <w:r>
        <w:rPr>
          <w:rFonts w:ascii="Arial" w:hAnsi="Arial" w:eastAsia="微软雅黑" w:cs="Arial"/>
          <w:color w:val="auto"/>
          <w:sz w:val="36"/>
          <w:szCs w:val="36"/>
          <w:shd w:val="clear" w:color="auto" w:fill="FFFFFF"/>
          <w:vertAlign w:val="superscript"/>
        </w:rPr>
        <w:t>®</w:t>
      </w:r>
      <w:r>
        <w:rPr>
          <w:rFonts w:hint="eastAsia" w:ascii="微软雅黑" w:hAnsi="微软雅黑" w:eastAsia="微软雅黑" w:cs="微软雅黑"/>
          <w:color w:val="auto"/>
          <w:sz w:val="36"/>
          <w:szCs w:val="36"/>
          <w:shd w:val="clear" w:color="auto" w:fill="FFFFFF"/>
        </w:rPr>
        <w:t>方向班) 招生简章</w:t>
      </w:r>
    </w:p>
    <w:p>
      <w:pPr>
        <w:spacing w:line="420" w:lineRule="exact"/>
        <w:ind w:firstLine="425" w:firstLineChars="180"/>
        <w:rPr>
          <w:rFonts w:ascii="微软雅黑" w:hAnsi="微软雅黑" w:eastAsia="微软雅黑" w:cstheme="minorBidi"/>
          <w:b/>
          <w:color w:val="auto"/>
          <w:spacing w:val="13"/>
          <w:szCs w:val="21"/>
          <w:shd w:val="clear" w:color="auto" w:fill="FFFFFF"/>
        </w:rPr>
      </w:pPr>
      <w:r>
        <w:rPr>
          <w:rFonts w:hint="eastAsia" w:ascii="微软雅黑" w:hAnsi="微软雅黑" w:eastAsia="微软雅黑" w:cstheme="minorBidi"/>
          <w:b/>
          <w:color w:val="auto"/>
          <w:spacing w:val="13"/>
          <w:szCs w:val="21"/>
          <w:shd w:val="clear" w:color="auto" w:fill="FFFFFF"/>
        </w:rPr>
        <w:t>一、金融学专业(CFA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theme="minorBidi"/>
          <w:b/>
          <w:color w:val="auto"/>
          <w:spacing w:val="13"/>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theme="minorBidi"/>
          <w:b/>
          <w:color w:val="auto"/>
          <w:spacing w:val="13"/>
          <w:szCs w:val="21"/>
          <w:shd w:val="clear" w:color="auto" w:fill="FFFFFF"/>
        </w:rPr>
        <w:t>方向班)简</w:t>
      </w:r>
      <w:bookmarkStart w:id="1" w:name="_GoBack"/>
      <w:bookmarkEnd w:id="1"/>
      <w:r>
        <w:rPr>
          <w:rFonts w:hint="eastAsia" w:ascii="微软雅黑" w:hAnsi="微软雅黑" w:eastAsia="微软雅黑" w:cstheme="minorBidi"/>
          <w:b/>
          <w:color w:val="auto"/>
          <w:spacing w:val="13"/>
          <w:szCs w:val="21"/>
          <w:shd w:val="clear" w:color="auto" w:fill="FFFFFF"/>
        </w:rPr>
        <w:t>介</w:t>
      </w:r>
    </w:p>
    <w:p>
      <w:pPr>
        <w:pStyle w:val="6"/>
        <w:widowControl/>
        <w:shd w:val="clear" w:color="auto" w:fill="FFFFFF"/>
        <w:spacing w:beforeAutospacing="0" w:afterAutospacing="0" w:line="480" w:lineRule="exact"/>
        <w:ind w:firstLine="482"/>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2017年，财政金融学院为创新金融学专业人才培养特色，提高金融学专业毕业生就业质量，在原有金融学专业下设立了CFA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方向特色实验班，旨在培养具有金融风险管理和金融分析等方面的国际高端职业能力并有开拓创新精神的国际化高素质应用型金融人才，体现了国内本科学历教育与国际高端职业教育的良好结合。</w:t>
      </w:r>
    </w:p>
    <w:p>
      <w:pPr>
        <w:pStyle w:val="6"/>
        <w:widowControl/>
        <w:shd w:val="clear" w:color="auto" w:fill="FFFFFF"/>
        <w:spacing w:beforeAutospacing="0" w:afterAutospacing="0" w:line="480" w:lineRule="exact"/>
        <w:ind w:firstLine="482"/>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方向班)面向已录取为湖南财政经济学院的</w:t>
      </w:r>
      <w:r>
        <w:rPr>
          <w:rFonts w:hint="eastAsia" w:ascii="微软雅黑" w:hAnsi="微软雅黑" w:eastAsia="微软雅黑" w:cs="微软雅黑"/>
          <w:b/>
          <w:color w:val="auto"/>
          <w:sz w:val="21"/>
          <w:szCs w:val="21"/>
          <w:shd w:val="clear" w:color="auto" w:fill="FFFFFF"/>
        </w:rPr>
        <w:t>2020</w:t>
      </w:r>
      <w:r>
        <w:rPr>
          <w:rFonts w:hint="eastAsia" w:ascii="微软雅黑" w:hAnsi="微软雅黑" w:eastAsia="微软雅黑" w:cs="微软雅黑"/>
          <w:b/>
          <w:bCs/>
          <w:color w:val="auto"/>
          <w:sz w:val="21"/>
          <w:szCs w:val="21"/>
          <w:shd w:val="clear" w:color="auto" w:fill="FFFFFF"/>
        </w:rPr>
        <w:t>级所有统招本科新生</w:t>
      </w:r>
      <w:r>
        <w:rPr>
          <w:rFonts w:hint="eastAsia" w:ascii="微软雅黑" w:hAnsi="微软雅黑" w:eastAsia="微软雅黑" w:cs="微软雅黑"/>
          <w:color w:val="auto"/>
          <w:sz w:val="21"/>
          <w:szCs w:val="21"/>
          <w:shd w:val="clear" w:color="auto" w:fill="FFFFFF"/>
        </w:rPr>
        <w:t>(不含艺术生、体育生及国际教育学院学生)，经面试或笔试等环节，择优录取。2020年金融学专业(CFA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方向班)计划招生100名。经录取后，</w:t>
      </w:r>
      <w:r>
        <w:rPr>
          <w:rFonts w:hint="eastAsia" w:ascii="微软雅黑" w:hAnsi="微软雅黑" w:eastAsia="微软雅黑" w:cs="微软雅黑"/>
          <w:b/>
          <w:bCs/>
          <w:color w:val="auto"/>
          <w:sz w:val="21"/>
          <w:szCs w:val="21"/>
          <w:shd w:val="clear" w:color="auto" w:fill="FFFFFF"/>
        </w:rPr>
        <w:t>从原录取专业转为金融学专业，按财政金融学院金融学专业(CFA</w:t>
      </w:r>
      <w:r>
        <w:rPr>
          <w:rFonts w:ascii="Arial" w:hAnsi="Arial" w:eastAsia="微软雅黑" w:cs="Arial"/>
          <w:b/>
          <w:bCs/>
          <w:color w:val="auto"/>
          <w:sz w:val="36"/>
          <w:szCs w:val="36"/>
          <w:shd w:val="clear" w:color="auto" w:fill="FFFFFF"/>
          <w:vertAlign w:val="superscript"/>
        </w:rPr>
        <w:t>®</w:t>
      </w:r>
      <w:r>
        <w:rPr>
          <w:rFonts w:hint="eastAsia" w:ascii="微软雅黑" w:hAnsi="微软雅黑" w:eastAsia="微软雅黑" w:cs="微软雅黑"/>
          <w:b/>
          <w:bCs/>
          <w:color w:val="auto"/>
          <w:sz w:val="21"/>
          <w:szCs w:val="21"/>
          <w:shd w:val="clear" w:color="auto" w:fill="FFFFFF"/>
        </w:rPr>
        <w:t>&amp;FRM</w:t>
      </w:r>
      <w:r>
        <w:rPr>
          <w:rFonts w:ascii="Arial" w:hAnsi="Arial" w:eastAsia="微软雅黑" w:cs="Arial"/>
          <w:b/>
          <w:bCs/>
          <w:color w:val="auto"/>
          <w:sz w:val="36"/>
          <w:szCs w:val="36"/>
          <w:shd w:val="clear" w:color="auto" w:fill="FFFFFF"/>
          <w:vertAlign w:val="superscript"/>
        </w:rPr>
        <w:t>®</w:t>
      </w:r>
      <w:r>
        <w:rPr>
          <w:rFonts w:hint="eastAsia" w:ascii="微软雅黑" w:hAnsi="微软雅黑" w:eastAsia="微软雅黑" w:cs="微软雅黑"/>
          <w:b/>
          <w:bCs/>
          <w:color w:val="auto"/>
          <w:sz w:val="21"/>
          <w:szCs w:val="21"/>
          <w:shd w:val="clear" w:color="auto" w:fill="FFFFFF"/>
        </w:rPr>
        <w:t>方向)人才培养方案进行培养。</w:t>
      </w:r>
      <w:r>
        <w:rPr>
          <w:rFonts w:hint="eastAsia" w:ascii="微软雅黑" w:hAnsi="微软雅黑" w:eastAsia="微软雅黑" w:cs="微软雅黑"/>
          <w:color w:val="auto"/>
          <w:sz w:val="21"/>
          <w:szCs w:val="21"/>
          <w:shd w:val="clear" w:color="auto" w:fill="FFFFFF"/>
        </w:rPr>
        <w:t>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证书课程采用中英文双语教学，有利于提升英语能力，为考研打下良好基础。该实验班毕业条件和学位授予条件同湖南财政经济学院其他统招生。</w:t>
      </w:r>
    </w:p>
    <w:p>
      <w:pPr>
        <w:spacing w:line="420" w:lineRule="exact"/>
        <w:ind w:firstLine="425" w:firstLineChars="180"/>
        <w:rPr>
          <w:rFonts w:ascii="微软雅黑" w:hAnsi="微软雅黑" w:eastAsia="微软雅黑" w:cstheme="minorBidi"/>
          <w:b/>
          <w:color w:val="auto"/>
          <w:spacing w:val="13"/>
          <w:szCs w:val="21"/>
          <w:shd w:val="clear" w:color="auto" w:fill="FFFFFF"/>
        </w:rPr>
      </w:pPr>
      <w:r>
        <w:rPr>
          <w:rFonts w:hint="eastAsia" w:ascii="微软雅黑" w:hAnsi="微软雅黑" w:eastAsia="微软雅黑" w:cstheme="minorBidi"/>
          <w:b/>
          <w:color w:val="auto"/>
          <w:spacing w:val="13"/>
          <w:szCs w:val="21"/>
          <w:shd w:val="clear" w:color="auto" w:fill="FFFFFF"/>
        </w:rPr>
        <w:t>二、CFA</w:t>
      </w:r>
      <w:r>
        <w:rPr>
          <w:rFonts w:ascii="微软雅黑" w:hAnsi="微软雅黑" w:eastAsia="微软雅黑" w:cstheme="minorBidi"/>
          <w:b/>
          <w:color w:val="auto"/>
          <w:spacing w:val="13"/>
          <w:szCs w:val="21"/>
          <w:shd w:val="clear" w:color="auto" w:fill="FFFFFF"/>
        </w:rPr>
        <w:t>®</w:t>
      </w:r>
      <w:r>
        <w:rPr>
          <w:rFonts w:hint="eastAsia" w:ascii="微软雅黑" w:hAnsi="微软雅黑" w:eastAsia="微软雅黑" w:cstheme="minorBidi"/>
          <w:b/>
          <w:color w:val="auto"/>
          <w:spacing w:val="13"/>
          <w:szCs w:val="21"/>
          <w:shd w:val="clear" w:color="auto" w:fill="FFFFFF"/>
        </w:rPr>
        <w:t>&amp;FRM</w:t>
      </w:r>
      <w:r>
        <w:rPr>
          <w:rFonts w:ascii="微软雅黑" w:hAnsi="微软雅黑" w:eastAsia="微软雅黑" w:cstheme="minorBidi"/>
          <w:b/>
          <w:color w:val="auto"/>
          <w:spacing w:val="13"/>
          <w:szCs w:val="21"/>
          <w:shd w:val="clear" w:color="auto" w:fill="FFFFFF"/>
        </w:rPr>
        <w:t>®</w:t>
      </w:r>
      <w:r>
        <w:rPr>
          <w:rFonts w:hint="eastAsia" w:ascii="微软雅黑" w:hAnsi="微软雅黑" w:eastAsia="微软雅黑" w:cstheme="minorBidi"/>
          <w:b/>
          <w:color w:val="auto"/>
          <w:spacing w:val="13"/>
          <w:szCs w:val="21"/>
          <w:shd w:val="clear" w:color="auto" w:fill="FFFFFF"/>
        </w:rPr>
        <w:t>介绍</w:t>
      </w:r>
    </w:p>
    <w:p>
      <w:pPr>
        <w:pStyle w:val="6"/>
        <w:widowControl/>
        <w:spacing w:beforeAutospacing="0" w:afterAutospacing="0" w:line="480" w:lineRule="exact"/>
        <w:ind w:firstLine="465"/>
        <w:jc w:val="both"/>
        <w:rPr>
          <w:rFonts w:ascii="微软雅黑" w:hAnsi="微软雅黑" w:eastAsia="微软雅黑" w:cs="微软雅黑"/>
          <w:color w:val="auto"/>
          <w:sz w:val="21"/>
          <w:szCs w:val="21"/>
        </w:rPr>
      </w:pPr>
      <w:r>
        <w:rPr>
          <w:rStyle w:val="8"/>
          <w:rFonts w:hint="eastAsia" w:ascii="微软雅黑" w:hAnsi="微软雅黑" w:eastAsia="微软雅黑" w:cs="微软雅黑"/>
          <w:color w:val="auto"/>
          <w:sz w:val="21"/>
          <w:szCs w:val="21"/>
          <w:shd w:val="clear" w:color="auto" w:fill="FFFFFF"/>
        </w:rPr>
        <w:t>(一) CFA</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，全称 Chartered Financial Analyst (特许金融分析师)</w:t>
      </w:r>
      <w:r>
        <w:rPr>
          <w:rFonts w:hint="eastAsia" w:ascii="微软雅黑" w:hAnsi="微软雅黑" w:eastAsia="微软雅黑" w:cs="微软雅黑"/>
          <w:color w:val="auto"/>
          <w:sz w:val="21"/>
          <w:szCs w:val="21"/>
          <w:shd w:val="clear" w:color="auto" w:fill="FFFFFF"/>
        </w:rPr>
        <w:t>，是全球投资行业中最为严格与含金量最高的资格认证证书，为全球投资业在道德操守、专业标准及知识体系等方面设立了规范与标准。自1962年设立CFA</w:t>
      </w:r>
      <w:r>
        <w:rPr>
          <w:rFonts w:hint="eastAsia"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课程以来，对投资知识、准则及道德设立了全球性的标准，被广泛认知与认可。《金融时报》杂志于2006年将CFA</w:t>
      </w:r>
      <w:r>
        <w:rPr>
          <w:rFonts w:hint="eastAsia"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专业资格比喻成投资专才的“黄金标准”，“金融第一考”，持证者年薪可达百万。CFA</w:t>
      </w:r>
      <w:r>
        <w:rPr>
          <w:rFonts w:hint="eastAsia"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持证人可在各大投资公司、各类基金公司、投资银行和大型银行、证券公司、咨询公司、各类会计师事务所、保险公司及各类大型企业等单位就职。</w:t>
      </w:r>
    </w:p>
    <w:p>
      <w:pPr>
        <w:pStyle w:val="6"/>
        <w:widowControl/>
        <w:spacing w:beforeAutospacing="0" w:afterAutospacing="0" w:line="480" w:lineRule="exact"/>
        <w:ind w:firstLine="465"/>
        <w:jc w:val="both"/>
        <w:rPr>
          <w:rFonts w:ascii="微软雅黑" w:hAnsi="微软雅黑" w:eastAsia="微软雅黑" w:cs="微软雅黑"/>
          <w:color w:val="auto"/>
          <w:sz w:val="21"/>
          <w:szCs w:val="21"/>
          <w:shd w:val="clear" w:color="auto" w:fill="FFFFFF"/>
        </w:rPr>
      </w:pPr>
      <w:r>
        <w:rPr>
          <w:rStyle w:val="8"/>
          <w:rFonts w:hint="eastAsia" w:ascii="微软雅黑" w:hAnsi="微软雅黑" w:eastAsia="微软雅黑" w:cs="微软雅黑"/>
          <w:color w:val="auto"/>
          <w:sz w:val="21"/>
          <w:szCs w:val="21"/>
          <w:shd w:val="clear" w:color="auto" w:fill="FFFFFF"/>
        </w:rPr>
        <w:t>(二) FRM</w:t>
      </w:r>
      <w:r>
        <w:rPr>
          <w:rFonts w:hint="eastAsia"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，全称Financial Risk Manager (金融风险管理师)</w:t>
      </w:r>
      <w:r>
        <w:rPr>
          <w:rFonts w:hint="eastAsia" w:ascii="微软雅黑" w:hAnsi="微软雅黑" w:eastAsia="微软雅黑" w:cs="微软雅黑"/>
          <w:color w:val="auto"/>
          <w:sz w:val="21"/>
          <w:szCs w:val="21"/>
          <w:shd w:val="clear" w:color="auto" w:fill="FFFFFF"/>
        </w:rPr>
        <w:t>，是金融风险管理领域的一种资格认证证书，由美国“全球风险协会”（GARP）设立。风险管理涵盖众多领域，包括风险管理概论、数量分析、金融市场与金融产品、定价与风险模型、市场风险测度与管理、信用风险测度与管理、操作风险测度与管理、基金投资风险、会计、法律等众多内容。而风险管理这一攸关企业组织及其投资人命运的重要决策，需要众多的专业人士参与，FRM</w:t>
      </w:r>
      <w:r>
        <w:rPr>
          <w:rFonts w:hint="eastAsia"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已成为全球瞩目的国际风险管理证照。 在国内，FRM</w:t>
      </w:r>
      <w:r>
        <w:rPr>
          <w:rFonts w:hint="eastAsia"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正日益受到国家金融监管机构以及各家金融机构的重视，因此，对金融专业人员的需求日益壮大。</w:t>
      </w:r>
    </w:p>
    <w:p>
      <w:pPr>
        <w:pStyle w:val="6"/>
        <w:widowControl/>
        <w:spacing w:beforeAutospacing="0" w:afterAutospacing="0" w:line="480" w:lineRule="exact"/>
        <w:ind w:firstLine="465"/>
        <w:jc w:val="both"/>
        <w:rPr>
          <w:rFonts w:ascii="微软雅黑" w:hAnsi="微软雅黑" w:eastAsia="微软雅黑" w:cs="微软雅黑"/>
          <w:color w:val="auto"/>
          <w:sz w:val="21"/>
          <w:szCs w:val="21"/>
          <w:shd w:val="clear" w:color="auto" w:fill="FFFFFF"/>
        </w:rPr>
      </w:pPr>
    </w:p>
    <w:p>
      <w:pPr>
        <w:pStyle w:val="6"/>
        <w:widowControl/>
        <w:spacing w:beforeLines="50" w:beforeAutospacing="0" w:afterLines="50" w:afterAutospacing="0" w:line="480" w:lineRule="exact"/>
        <w:jc w:val="both"/>
        <w:rPr>
          <w:rStyle w:val="8"/>
          <w:rFonts w:ascii="微软雅黑" w:hAnsi="微软雅黑" w:eastAsia="微软雅黑" w:cs="微软雅黑"/>
          <w:color w:val="auto"/>
          <w:sz w:val="21"/>
          <w:szCs w:val="21"/>
          <w:shd w:val="clear" w:color="auto" w:fill="FFFFFF"/>
        </w:rPr>
      </w:pPr>
      <w:r>
        <w:rPr>
          <w:rStyle w:val="8"/>
          <w:rFonts w:hint="eastAsia" w:ascii="微软雅黑" w:hAnsi="微软雅黑" w:eastAsia="微软雅黑" w:cs="微软雅黑"/>
          <w:color w:val="auto"/>
          <w:sz w:val="21"/>
          <w:szCs w:val="21"/>
          <w:shd w:val="clear" w:color="auto" w:fill="FFFFFF"/>
        </w:rPr>
        <w:t>三、CFA</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证书优势</w:t>
      </w:r>
    </w:p>
    <w:p>
      <w:pPr>
        <w:pStyle w:val="2"/>
        <w:autoSpaceDE w:val="0"/>
        <w:autoSpaceDN w:val="0"/>
        <w:spacing w:beforeAutospacing="0" w:afterAutospacing="0" w:line="480" w:lineRule="exact"/>
        <w:ind w:firstLine="412" w:firstLineChars="196"/>
        <w:jc w:val="both"/>
        <w:rPr>
          <w:rStyle w:val="8"/>
          <w:rFonts w:ascii="微软雅黑" w:hAnsi="微软雅黑" w:eastAsia="微软雅黑" w:cs="微软雅黑"/>
          <w:b/>
          <w:color w:val="auto"/>
          <w:kern w:val="0"/>
          <w:sz w:val="21"/>
          <w:szCs w:val="21"/>
          <w:shd w:val="clear" w:color="auto" w:fill="FFFFFF"/>
        </w:rPr>
      </w:pPr>
      <w:r>
        <w:rPr>
          <w:rStyle w:val="8"/>
          <w:rFonts w:hint="eastAsia" w:ascii="微软雅黑" w:hAnsi="微软雅黑" w:eastAsia="微软雅黑" w:cs="微软雅黑"/>
          <w:b/>
          <w:color w:val="auto"/>
          <w:kern w:val="0"/>
          <w:sz w:val="21"/>
          <w:szCs w:val="21"/>
          <w:shd w:val="clear" w:color="auto" w:fill="FFFFFF"/>
        </w:rPr>
        <w:t>(一) 持证人享有的政策优惠</w:t>
      </w:r>
    </w:p>
    <w:p>
      <w:pPr>
        <w:pStyle w:val="3"/>
        <w:autoSpaceDE w:val="0"/>
        <w:autoSpaceDN w:val="0"/>
        <w:spacing w:before="0" w:line="480" w:lineRule="exact"/>
        <w:ind w:left="0" w:right="142" w:firstLine="420" w:firstLineChars="200"/>
        <w:rPr>
          <w:rFonts w:ascii="微软雅黑" w:hAnsi="微软雅黑" w:eastAsia="微软雅黑" w:cs="微软雅黑"/>
          <w:color w:val="auto"/>
          <w:kern w:val="0"/>
          <w:sz w:val="21"/>
          <w:szCs w:val="21"/>
          <w:shd w:val="clear" w:color="auto" w:fill="FFFFFF"/>
        </w:rPr>
      </w:pPr>
      <w:r>
        <w:rPr>
          <w:rFonts w:hint="eastAsia" w:ascii="微软雅黑" w:hAnsi="微软雅黑" w:eastAsia="微软雅黑" w:cs="微软雅黑"/>
          <w:color w:val="auto"/>
          <w:kern w:val="0"/>
          <w:sz w:val="21"/>
          <w:szCs w:val="21"/>
          <w:shd w:val="clear" w:color="auto" w:fill="FFFFFF"/>
        </w:rPr>
        <w:t>北京：子女在京高考、个税补贴、户籍加分；</w:t>
      </w:r>
    </w:p>
    <w:p>
      <w:pPr>
        <w:pStyle w:val="3"/>
        <w:autoSpaceDE w:val="0"/>
        <w:autoSpaceDN w:val="0"/>
        <w:spacing w:before="0" w:line="480" w:lineRule="exact"/>
        <w:ind w:leftChars="57" w:right="142" w:firstLine="315" w:firstLineChars="150"/>
        <w:rPr>
          <w:rFonts w:ascii="微软雅黑" w:hAnsi="微软雅黑" w:eastAsia="微软雅黑" w:cs="微软雅黑"/>
          <w:color w:val="auto"/>
          <w:kern w:val="0"/>
          <w:sz w:val="21"/>
          <w:szCs w:val="21"/>
          <w:shd w:val="clear" w:color="auto" w:fill="FFFFFF"/>
        </w:rPr>
      </w:pPr>
      <w:r>
        <w:rPr>
          <w:rFonts w:hint="eastAsia" w:ascii="微软雅黑" w:hAnsi="微软雅黑" w:eastAsia="微软雅黑" w:cs="微软雅黑"/>
          <w:color w:val="auto"/>
          <w:kern w:val="0"/>
          <w:sz w:val="21"/>
          <w:szCs w:val="21"/>
          <w:shd w:val="clear" w:color="auto" w:fill="FFFFFF"/>
        </w:rPr>
        <w:t>上海：金融领域“十二五”发展培养人才、个税退税补贴、落户加分；</w:t>
      </w:r>
    </w:p>
    <w:p>
      <w:pPr>
        <w:pStyle w:val="3"/>
        <w:autoSpaceDE w:val="0"/>
        <w:autoSpaceDN w:val="0"/>
        <w:spacing w:before="0" w:line="480" w:lineRule="exact"/>
        <w:ind w:leftChars="57" w:right="142" w:firstLine="315" w:firstLineChars="150"/>
        <w:rPr>
          <w:rFonts w:ascii="微软雅黑" w:hAnsi="微软雅黑" w:eastAsia="微软雅黑" w:cs="微软雅黑"/>
          <w:color w:val="auto"/>
          <w:kern w:val="0"/>
          <w:sz w:val="21"/>
          <w:szCs w:val="21"/>
          <w:shd w:val="clear" w:color="auto" w:fill="FFFFFF"/>
        </w:rPr>
      </w:pPr>
      <w:r>
        <w:rPr>
          <w:rFonts w:hint="eastAsia" w:ascii="微软雅黑" w:hAnsi="微软雅黑" w:eastAsia="微软雅黑" w:cs="微软雅黑"/>
          <w:color w:val="auto"/>
          <w:kern w:val="0"/>
          <w:sz w:val="21"/>
          <w:szCs w:val="21"/>
          <w:shd w:val="clear" w:color="auto" w:fill="FFFFFF"/>
        </w:rPr>
        <w:t>广州：引进高级金融专才，最高奖励30万元；</w:t>
      </w:r>
    </w:p>
    <w:p>
      <w:pPr>
        <w:pStyle w:val="3"/>
        <w:autoSpaceDE w:val="0"/>
        <w:autoSpaceDN w:val="0"/>
        <w:spacing w:before="0" w:line="480" w:lineRule="exact"/>
        <w:ind w:leftChars="57" w:right="142" w:firstLine="315" w:firstLineChars="150"/>
        <w:rPr>
          <w:rFonts w:ascii="微软雅黑" w:hAnsi="微软雅黑" w:eastAsia="微软雅黑" w:cs="微软雅黑"/>
          <w:color w:val="auto"/>
          <w:kern w:val="0"/>
          <w:sz w:val="21"/>
          <w:szCs w:val="21"/>
          <w:shd w:val="clear" w:color="auto" w:fill="FFFFFF"/>
        </w:rPr>
      </w:pPr>
      <w:r>
        <w:rPr>
          <w:rFonts w:hint="eastAsia" w:ascii="微软雅黑" w:hAnsi="微软雅黑" w:eastAsia="微软雅黑" w:cs="微软雅黑"/>
          <w:color w:val="auto"/>
          <w:kern w:val="0"/>
          <w:sz w:val="21"/>
          <w:szCs w:val="21"/>
          <w:shd w:val="clear" w:color="auto" w:fill="FFFFFF"/>
        </w:rPr>
        <w:t>深圳：办理“鸿儒卡”、后备级金融人才可享受80万补贴;</w:t>
      </w:r>
    </w:p>
    <w:p>
      <w:pPr>
        <w:pStyle w:val="3"/>
        <w:autoSpaceDE w:val="0"/>
        <w:autoSpaceDN w:val="0"/>
        <w:spacing w:before="0" w:line="480" w:lineRule="exact"/>
        <w:ind w:leftChars="57" w:right="142" w:firstLine="315" w:firstLineChars="150"/>
        <w:rPr>
          <w:rFonts w:ascii="微软雅黑" w:hAnsi="微软雅黑" w:eastAsia="微软雅黑" w:cs="微软雅黑"/>
          <w:color w:val="auto"/>
          <w:kern w:val="0"/>
          <w:sz w:val="21"/>
          <w:szCs w:val="21"/>
          <w:shd w:val="clear" w:color="auto" w:fill="FFFFFF"/>
        </w:rPr>
      </w:pPr>
      <w:r>
        <w:rPr>
          <w:rFonts w:hint="eastAsia" w:ascii="微软雅黑" w:hAnsi="微软雅黑" w:eastAsia="微软雅黑" w:cs="微软雅黑"/>
          <w:color w:val="auto"/>
          <w:kern w:val="0"/>
          <w:sz w:val="21"/>
          <w:szCs w:val="21"/>
          <w:shd w:val="clear" w:color="auto" w:fill="FFFFFF"/>
        </w:rPr>
        <w:t>其他如成都、珠海、厦门、南京、宁波等城市均有相应政策优惠。</w:t>
      </w:r>
    </w:p>
    <w:p>
      <w:pPr>
        <w:pStyle w:val="2"/>
        <w:autoSpaceDE w:val="0"/>
        <w:autoSpaceDN w:val="0"/>
        <w:spacing w:beforeAutospacing="0" w:afterAutospacing="0" w:line="480" w:lineRule="exact"/>
        <w:ind w:firstLine="412" w:firstLineChars="196"/>
        <w:jc w:val="both"/>
        <w:rPr>
          <w:rStyle w:val="8"/>
          <w:rFonts w:ascii="微软雅黑" w:hAnsi="微软雅黑" w:eastAsia="微软雅黑" w:cs="微软雅黑"/>
          <w:b/>
          <w:color w:val="auto"/>
          <w:kern w:val="0"/>
          <w:sz w:val="21"/>
          <w:szCs w:val="21"/>
          <w:shd w:val="clear" w:color="auto" w:fill="FFFFFF"/>
        </w:rPr>
      </w:pPr>
      <w:r>
        <w:rPr>
          <w:rStyle w:val="8"/>
          <w:rFonts w:hint="eastAsia" w:ascii="微软雅黑" w:hAnsi="微软雅黑" w:eastAsia="微软雅黑" w:cs="微软雅黑"/>
          <w:b/>
          <w:color w:val="auto"/>
          <w:kern w:val="0"/>
          <w:sz w:val="21"/>
          <w:szCs w:val="21"/>
          <w:shd w:val="clear" w:color="auto" w:fill="FFFFFF"/>
        </w:rPr>
        <w:t>(二) 认可CFA</w:t>
      </w:r>
      <w:r>
        <w:rPr>
          <w:rFonts w:ascii="Arial" w:hAnsi="Arial" w:eastAsia="微软雅黑" w:cs="Arial"/>
          <w:color w:val="auto"/>
          <w:sz w:val="36"/>
          <w:szCs w:val="36"/>
          <w:shd w:val="clear" w:color="auto" w:fill="FFFFFF"/>
          <w:vertAlign w:val="superscript"/>
        </w:rPr>
        <w:t>®</w:t>
      </w:r>
      <w:r>
        <w:rPr>
          <w:rStyle w:val="8"/>
          <w:rFonts w:hint="eastAsia" w:ascii="微软雅黑" w:hAnsi="微软雅黑" w:eastAsia="微软雅黑" w:cs="微软雅黑"/>
          <w:b/>
          <w:color w:val="auto"/>
          <w:kern w:val="0"/>
          <w:sz w:val="21"/>
          <w:szCs w:val="21"/>
          <w:shd w:val="clear" w:color="auto" w:fill="FFFFFF"/>
        </w:rPr>
        <w:t>&amp;FRM</w:t>
      </w:r>
      <w:r>
        <w:rPr>
          <w:rFonts w:ascii="Arial" w:hAnsi="Arial" w:eastAsia="微软雅黑" w:cs="Arial"/>
          <w:color w:val="auto"/>
          <w:sz w:val="36"/>
          <w:szCs w:val="36"/>
          <w:shd w:val="clear" w:color="auto" w:fill="FFFFFF"/>
          <w:vertAlign w:val="superscript"/>
        </w:rPr>
        <w:t>®</w:t>
      </w:r>
      <w:r>
        <w:rPr>
          <w:rStyle w:val="8"/>
          <w:rFonts w:hint="eastAsia" w:ascii="微软雅黑" w:hAnsi="微软雅黑" w:eastAsia="微软雅黑" w:cs="微软雅黑"/>
          <w:b/>
          <w:color w:val="auto"/>
          <w:kern w:val="0"/>
          <w:sz w:val="21"/>
          <w:szCs w:val="21"/>
          <w:shd w:val="clear" w:color="auto" w:fill="FFFFFF"/>
        </w:rPr>
        <w:t>持证人的单位</w:t>
      </w:r>
    </w:p>
    <w:p>
      <w:pPr>
        <w:pStyle w:val="3"/>
        <w:autoSpaceDE w:val="0"/>
        <w:autoSpaceDN w:val="0"/>
        <w:spacing w:before="0" w:line="480" w:lineRule="exact"/>
        <w:ind w:left="0" w:right="142" w:firstLine="420" w:firstLineChars="200"/>
        <w:rPr>
          <w:rFonts w:ascii="微软雅黑" w:hAnsi="微软雅黑" w:eastAsia="微软雅黑" w:cs="微软雅黑"/>
          <w:color w:val="auto"/>
          <w:kern w:val="0"/>
          <w:sz w:val="21"/>
          <w:szCs w:val="21"/>
          <w:shd w:val="clear" w:color="auto" w:fill="FFFFFF"/>
        </w:rPr>
      </w:pPr>
      <w:r>
        <w:rPr>
          <w:rFonts w:hint="eastAsia" w:ascii="微软雅黑" w:hAnsi="微软雅黑" w:eastAsia="微软雅黑" w:cs="微软雅黑"/>
          <w:color w:val="auto"/>
          <w:kern w:val="0"/>
          <w:sz w:val="21"/>
          <w:szCs w:val="21"/>
          <w:shd w:val="clear" w:color="auto" w:fill="FFFFFF"/>
        </w:rPr>
        <w:t>普华永道、汇丰银行、法国巴黎银行、瑞银集团、毕马威会计师事务所、德勤会计师事务所、安永会计师事务所、普华永道会计师事务所、中国银行、中国工商银行、中国国际金融有限公司、中国中信、中国平安保险、招商局集团、国泰君安证券股份有限公司等国内外著名企业都高度重视和认可CFA</w:t>
      </w:r>
      <w:r>
        <w:rPr>
          <w:rFonts w:hint="eastAsia" w:ascii="微软雅黑" w:hAnsi="微软雅黑" w:eastAsia="微软雅黑" w:cs="微软雅黑"/>
          <w:b/>
          <w:color w:val="auto"/>
          <w:kern w:val="44"/>
          <w:sz w:val="21"/>
          <w:szCs w:val="21"/>
          <w:shd w:val="clear" w:color="auto" w:fill="FFFFFF"/>
        </w:rPr>
        <w:t>®</w:t>
      </w:r>
      <w:r>
        <w:rPr>
          <w:rFonts w:hint="eastAsia" w:ascii="微软雅黑" w:hAnsi="微软雅黑" w:eastAsia="微软雅黑" w:cs="微软雅黑"/>
          <w:color w:val="auto"/>
          <w:kern w:val="0"/>
          <w:sz w:val="21"/>
          <w:szCs w:val="21"/>
          <w:shd w:val="clear" w:color="auto" w:fill="FFFFFF"/>
        </w:rPr>
        <w:t>&amp;FRM</w:t>
      </w:r>
      <w:r>
        <w:rPr>
          <w:rFonts w:hint="eastAsia" w:ascii="微软雅黑" w:hAnsi="微软雅黑" w:eastAsia="微软雅黑" w:cs="微软雅黑"/>
          <w:b/>
          <w:color w:val="auto"/>
          <w:kern w:val="44"/>
          <w:sz w:val="21"/>
          <w:szCs w:val="21"/>
          <w:shd w:val="clear" w:color="auto" w:fill="FFFFFF"/>
        </w:rPr>
        <w:t>®</w:t>
      </w:r>
      <w:r>
        <w:rPr>
          <w:rFonts w:hint="eastAsia" w:ascii="微软雅黑" w:hAnsi="微软雅黑" w:eastAsia="微软雅黑" w:cs="微软雅黑"/>
          <w:color w:val="auto"/>
          <w:kern w:val="0"/>
          <w:sz w:val="21"/>
          <w:szCs w:val="21"/>
          <w:shd w:val="clear" w:color="auto" w:fill="FFFFFF"/>
        </w:rPr>
        <w:t>持证人。</w:t>
      </w:r>
    </w:p>
    <w:p>
      <w:pPr>
        <w:pStyle w:val="6"/>
        <w:widowControl/>
        <w:spacing w:beforeLines="50" w:beforeAutospacing="0" w:afterLines="50" w:afterAutospacing="0" w:line="480" w:lineRule="exact"/>
        <w:jc w:val="both"/>
        <w:rPr>
          <w:rStyle w:val="8"/>
          <w:rFonts w:ascii="微软雅黑" w:hAnsi="微软雅黑" w:eastAsia="微软雅黑" w:cs="微软雅黑"/>
          <w:color w:val="auto"/>
          <w:sz w:val="21"/>
          <w:szCs w:val="21"/>
          <w:shd w:val="clear" w:color="auto" w:fill="FFFFFF"/>
        </w:rPr>
      </w:pPr>
      <w:r>
        <w:rPr>
          <w:rStyle w:val="8"/>
          <w:rFonts w:hint="eastAsia" w:ascii="微软雅黑" w:hAnsi="微软雅黑" w:eastAsia="微软雅黑" w:cs="微软雅黑"/>
          <w:color w:val="auto"/>
          <w:sz w:val="21"/>
          <w:szCs w:val="21"/>
          <w:shd w:val="clear" w:color="auto" w:fill="FFFFFF"/>
        </w:rPr>
        <w:t>四、CFA</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方向班学生可获得</w:t>
      </w:r>
    </w:p>
    <w:p>
      <w:pPr>
        <w:pStyle w:val="6"/>
        <w:widowControl/>
        <w:shd w:val="clear" w:color="auto" w:fill="FFFFFF"/>
        <w:spacing w:beforeAutospacing="0" w:afterAutospacing="0" w:line="480" w:lineRule="exact"/>
        <w:ind w:left="630" w:hanging="630" w:hangingChars="3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rPr>
        <w:t>（一）符合学校毕业条件的，将获得湖南财政经济学院金融学本科毕业证书；符合学校学位授予条件的，将获得经济学学士学位证书。</w:t>
      </w:r>
    </w:p>
    <w:p>
      <w:pPr>
        <w:pStyle w:val="6"/>
        <w:widowControl/>
        <w:shd w:val="clear" w:color="auto" w:fill="FFFFFF"/>
        <w:spacing w:beforeAutospacing="0" w:afterAutospacing="0" w:line="480" w:lineRule="exact"/>
        <w:ind w:left="630" w:hanging="630" w:hangingChars="3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rPr>
        <w:t>（二）通过CFA®三级考试合格者，符合申请条件获得CFA®资格证书；通过FRM®两个等级考试合格者，符合申请条件获得FRM®资格证书。</w:t>
      </w:r>
    </w:p>
    <w:p>
      <w:pPr>
        <w:pStyle w:val="6"/>
        <w:widowControl/>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rPr>
        <w:t>（三）CFA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rPr>
        <w:t>课程及FRM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rPr>
        <w:t>课程由金融领域具有丰富实务经验的CFA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rPr>
        <w:t>持证精英讲师授课。</w:t>
      </w:r>
    </w:p>
    <w:p>
      <w:pPr>
        <w:pStyle w:val="6"/>
        <w:widowControl/>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rPr>
        <w:t>（四）</w:t>
      </w:r>
      <w:r>
        <w:rPr>
          <w:rFonts w:hint="eastAsia" w:ascii="微软雅黑" w:hAnsi="微软雅黑" w:eastAsia="微软雅黑" w:cs="微软雅黑"/>
          <w:color w:val="auto"/>
          <w:sz w:val="21"/>
          <w:szCs w:val="21"/>
          <w:shd w:val="clear" w:color="auto" w:fill="FFFFFF"/>
        </w:rPr>
        <w:t xml:space="preserve">国际化金融教育课程，与国际金融实务同步的知识体系，高品质教学效果。 </w:t>
      </w:r>
    </w:p>
    <w:p>
      <w:pPr>
        <w:pStyle w:val="6"/>
        <w:widowControl/>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（五）国内外众多知名证券、基金、保险、银行、大型企业的高端职位机会。 </w:t>
      </w:r>
    </w:p>
    <w:p>
      <w:pPr>
        <w:pStyle w:val="6"/>
        <w:widowControl/>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rPr>
        <w:t>（六）中英文双语教学，</w:t>
      </w:r>
      <w:r>
        <w:rPr>
          <w:rFonts w:hint="eastAsia" w:ascii="微软雅黑" w:hAnsi="微软雅黑" w:eastAsia="微软雅黑" w:cs="微软雅黑"/>
          <w:color w:val="auto"/>
          <w:sz w:val="21"/>
          <w:szCs w:val="21"/>
          <w:shd w:val="clear" w:color="auto" w:fill="FFFFFF"/>
        </w:rPr>
        <w:t>拥有国际化金融知识，娴熟的金融英语听说读写技能。</w:t>
      </w:r>
    </w:p>
    <w:p>
      <w:pPr>
        <w:pStyle w:val="6"/>
        <w:widowControl/>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rPr>
        <w:t>（七）</w:t>
      </w:r>
      <w:r>
        <w:rPr>
          <w:rFonts w:hint="eastAsia" w:ascii="微软雅黑" w:hAnsi="微软雅黑" w:eastAsia="微软雅黑" w:cs="微软雅黑"/>
          <w:color w:val="auto"/>
          <w:sz w:val="21"/>
          <w:szCs w:val="21"/>
          <w:shd w:val="clear" w:color="auto" w:fill="FFFFFF"/>
        </w:rPr>
        <w:t>实行有区别于其他专业统招生的较严格管理。</w:t>
      </w:r>
    </w:p>
    <w:p>
      <w:pPr>
        <w:pStyle w:val="6"/>
        <w:widowControl/>
        <w:shd w:val="clear" w:color="auto" w:fill="FFFFFF"/>
        <w:spacing w:beforeAutospacing="0" w:afterAutospacing="0" w:line="480" w:lineRule="exact"/>
        <w:jc w:val="both"/>
        <w:rPr>
          <w:rStyle w:val="8"/>
          <w:rFonts w:ascii="微软雅黑" w:hAnsi="微软雅黑" w:eastAsia="微软雅黑" w:cs="微软雅黑"/>
          <w:color w:val="auto"/>
          <w:sz w:val="21"/>
          <w:szCs w:val="21"/>
          <w:shd w:val="clear" w:color="auto" w:fill="FFFFFF"/>
        </w:rPr>
      </w:pPr>
      <w:r>
        <w:rPr>
          <w:rStyle w:val="8"/>
          <w:rFonts w:hint="eastAsia" w:ascii="微软雅黑" w:hAnsi="微软雅黑" w:eastAsia="微软雅黑" w:cs="微软雅黑"/>
          <w:color w:val="auto"/>
          <w:sz w:val="21"/>
          <w:szCs w:val="21"/>
          <w:shd w:val="clear" w:color="auto" w:fill="FFFFFF"/>
        </w:rPr>
        <w:t>五、CFA</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方向班报名须知</w:t>
      </w:r>
    </w:p>
    <w:p>
      <w:pPr>
        <w:pStyle w:val="6"/>
        <w:widowControl/>
        <w:shd w:val="clear" w:color="auto" w:fill="FFFFFF"/>
        <w:spacing w:beforeAutospacing="0" w:afterAutospacing="0" w:line="480" w:lineRule="exact"/>
        <w:ind w:firstLine="412" w:firstLineChars="196"/>
        <w:jc w:val="both"/>
        <w:rPr>
          <w:rFonts w:ascii="微软雅黑" w:hAnsi="微软雅黑" w:eastAsia="微软雅黑" w:cs="微软雅黑"/>
          <w:color w:val="auto"/>
          <w:sz w:val="21"/>
          <w:szCs w:val="21"/>
        </w:rPr>
      </w:pPr>
      <w:r>
        <w:rPr>
          <w:rStyle w:val="8"/>
          <w:rFonts w:hint="eastAsia" w:ascii="微软雅黑" w:hAnsi="微软雅黑" w:eastAsia="微软雅黑" w:cs="微软雅黑"/>
          <w:color w:val="auto"/>
          <w:sz w:val="21"/>
          <w:szCs w:val="21"/>
          <w:shd w:val="clear" w:color="auto" w:fill="FFFFFF"/>
        </w:rPr>
        <w:t>(一) 报名条件</w:t>
      </w:r>
    </w:p>
    <w:p>
      <w:pPr>
        <w:pStyle w:val="6"/>
        <w:widowControl/>
        <w:shd w:val="clear" w:color="auto" w:fill="FFFFFF"/>
        <w:spacing w:beforeAutospacing="0" w:afterAutospacing="0" w:line="480" w:lineRule="exact"/>
        <w:ind w:firstLine="48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已被录取为湖南财政经济学院2020级的所有统招生(不含艺术生、体育生及国际教育学院学生)符合下列条件，且愿意就读金融学专业(CFA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）方向班的，文理不限，均可报名。</w:t>
      </w:r>
    </w:p>
    <w:p>
      <w:pPr>
        <w:pStyle w:val="6"/>
        <w:widowControl/>
        <w:shd w:val="clear" w:color="auto" w:fill="FFFFFF"/>
        <w:spacing w:beforeAutospacing="0" w:afterAutospacing="0" w:line="480" w:lineRule="exact"/>
        <w:ind w:firstLine="422" w:firstLineChars="201"/>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1．150分制下，高考英语成绩在100分及以上；</w:t>
      </w:r>
    </w:p>
    <w:p>
      <w:pPr>
        <w:pStyle w:val="6"/>
        <w:widowControl/>
        <w:numPr>
          <w:ilvl w:val="0"/>
          <w:numId w:val="1"/>
        </w:numPr>
        <w:shd w:val="clear" w:color="auto" w:fill="FFFFFF"/>
        <w:spacing w:beforeAutospacing="0" w:afterAutospacing="0" w:line="480" w:lineRule="exact"/>
        <w:ind w:firstLine="422" w:firstLineChars="201"/>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具有强烈的学习意愿和吃苦耐劳的毅力；</w:t>
      </w:r>
    </w:p>
    <w:p>
      <w:pPr>
        <w:pStyle w:val="6"/>
        <w:widowControl/>
        <w:numPr>
          <w:ilvl w:val="0"/>
          <w:numId w:val="1"/>
        </w:numPr>
        <w:shd w:val="clear" w:color="auto" w:fill="FFFFFF"/>
        <w:spacing w:beforeAutospacing="0" w:afterAutospacing="0" w:line="480" w:lineRule="exact"/>
        <w:ind w:firstLine="422" w:firstLineChars="201"/>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家庭经济良好。</w:t>
      </w:r>
    </w:p>
    <w:p>
      <w:pPr>
        <w:pStyle w:val="6"/>
        <w:widowControl/>
        <w:shd w:val="clear" w:color="auto" w:fill="FFFFFF"/>
        <w:spacing w:beforeAutospacing="0" w:afterAutospacing="0" w:line="480" w:lineRule="exact"/>
        <w:ind w:firstLine="412" w:firstLineChars="196"/>
        <w:jc w:val="both"/>
        <w:rPr>
          <w:rFonts w:ascii="微软雅黑" w:hAnsi="微软雅黑" w:eastAsia="微软雅黑" w:cs="微软雅黑"/>
          <w:color w:val="auto"/>
          <w:sz w:val="21"/>
          <w:szCs w:val="21"/>
        </w:rPr>
      </w:pPr>
      <w:r>
        <w:rPr>
          <w:rStyle w:val="8"/>
          <w:rFonts w:hint="eastAsia" w:ascii="微软雅黑" w:hAnsi="微软雅黑" w:eastAsia="微软雅黑" w:cs="微软雅黑"/>
          <w:color w:val="auto"/>
          <w:sz w:val="21"/>
          <w:szCs w:val="21"/>
          <w:shd w:val="clear" w:color="auto" w:fill="FFFFFF"/>
        </w:rPr>
        <w:t>(二) 选拔程序</w:t>
      </w:r>
    </w:p>
    <w:p>
      <w:pPr>
        <w:pStyle w:val="6"/>
        <w:widowControl/>
        <w:shd w:val="clear" w:color="auto" w:fill="FFFFFF"/>
        <w:spacing w:beforeAutospacing="0" w:afterAutospacing="0" w:line="480" w:lineRule="exact"/>
        <w:ind w:firstLine="48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1．报名：符合条件且愿意参加金融学CFA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方向班的学生在报到入学前可通过扫描下方所附的CFA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微信二维码填写信息进行预报名，同时可添加新生咨询群进行详细了解。入学报到时，持报名申请表和近期一寸免冠彩照两张到湖南财政经济学院报到入学现场确认，CFA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管理中心对报名学生是否符合报名基本条件进行初审。</w:t>
      </w:r>
    </w:p>
    <w:p>
      <w:pPr>
        <w:pStyle w:val="6"/>
        <w:widowControl/>
        <w:shd w:val="clear" w:color="auto" w:fill="FFFFFF"/>
        <w:spacing w:beforeAutospacing="0" w:afterAutospacing="0" w:line="480" w:lineRule="exact"/>
        <w:ind w:firstLine="48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2．考核：（1）高考英语单科成绩在100-120分之间的，参加学校与中博教育联合组织的笔试，之后再进入面试；（2）高考英语单科成绩在120分以上的同学直接参加面试</w:t>
      </w:r>
    </w:p>
    <w:p>
      <w:pPr>
        <w:pStyle w:val="6"/>
        <w:widowControl/>
        <w:shd w:val="clear" w:color="auto" w:fill="FFFFFF"/>
        <w:spacing w:beforeAutospacing="0" w:afterAutospacing="0" w:line="480" w:lineRule="exact"/>
        <w:ind w:firstLine="48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对通过初审的学生进行面试，重点考察学生的英语阅读和英语表达能力、求知欲望、自我管理能力等。</w:t>
      </w:r>
    </w:p>
    <w:p>
      <w:pPr>
        <w:pStyle w:val="6"/>
        <w:widowControl/>
        <w:spacing w:before="300" w:beforeAutospacing="0" w:after="90" w:afterAutospacing="0" w:line="360" w:lineRule="auto"/>
        <w:ind w:firstLine="489" w:firstLineChars="233"/>
        <w:rPr>
          <w:color w:val="auto"/>
        </w:rPr>
      </w:pPr>
      <w:r>
        <w:rPr>
          <w:rFonts w:hint="eastAsia" w:ascii="微软雅黑" w:hAnsi="微软雅黑" w:eastAsia="微软雅黑" w:cs="微软雅黑"/>
          <w:color w:val="auto"/>
          <w:sz w:val="21"/>
          <w:szCs w:val="21"/>
          <w:shd w:val="clear" w:color="auto" w:fill="FFFFFF"/>
        </w:rPr>
        <w:t>3．录取规则：高考英语成绩高于120分的占录取总成绩的70%，高考英语成绩100-120分之间的，高考英语与笔试英语成绩各占50%折算后占录取总成绩的70%，面试成绩占录取总成绩30%，按录取总成绩从高到低择优预录取。</w:t>
      </w:r>
    </w:p>
    <w:p>
      <w:pPr>
        <w:pStyle w:val="6"/>
        <w:widowControl/>
        <w:shd w:val="clear" w:color="auto" w:fill="FFFFFF"/>
        <w:spacing w:beforeAutospacing="0" w:afterAutospacing="0" w:line="480" w:lineRule="exact"/>
        <w:ind w:firstLine="420" w:firstLineChars="2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4．录取公示：将严格按照公开、公平、公正的原则择优录取。</w:t>
      </w:r>
    </w:p>
    <w:p>
      <w:pPr>
        <w:pStyle w:val="6"/>
        <w:widowControl/>
        <w:shd w:val="clear" w:color="auto" w:fill="FFFFFF"/>
        <w:spacing w:beforeAutospacing="0" w:afterAutospacing="0" w:line="480" w:lineRule="exact"/>
        <w:ind w:firstLine="420" w:firstLineChars="2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5．现场确认：学生家长和学生本人现场确认，签订三方协议(具体时间、地点另行通知)。</w:t>
      </w:r>
    </w:p>
    <w:p>
      <w:pPr>
        <w:pStyle w:val="6"/>
        <w:widowControl/>
        <w:spacing w:beforeLines="50" w:beforeAutospacing="0" w:afterLines="50" w:afterAutospacing="0" w:line="480" w:lineRule="exact"/>
        <w:jc w:val="both"/>
        <w:rPr>
          <w:rStyle w:val="8"/>
          <w:rFonts w:ascii="微软雅黑" w:hAnsi="微软雅黑" w:eastAsia="微软雅黑" w:cs="微软雅黑"/>
          <w:color w:val="auto"/>
          <w:sz w:val="21"/>
          <w:szCs w:val="21"/>
          <w:shd w:val="clear" w:color="auto" w:fill="FFFFFF"/>
        </w:rPr>
      </w:pPr>
      <w:r>
        <w:rPr>
          <w:rStyle w:val="8"/>
          <w:rFonts w:hint="eastAsia" w:ascii="微软雅黑" w:hAnsi="微软雅黑" w:eastAsia="微软雅黑" w:cs="微软雅黑"/>
          <w:color w:val="auto"/>
          <w:sz w:val="21"/>
          <w:szCs w:val="21"/>
          <w:shd w:val="clear" w:color="auto" w:fill="FFFFFF"/>
        </w:rPr>
        <w:t>六、CFA</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Style w:val="8"/>
          <w:rFonts w:hint="eastAsia" w:ascii="微软雅黑" w:hAnsi="微软雅黑" w:eastAsia="微软雅黑" w:cs="微软雅黑"/>
          <w:color w:val="auto"/>
          <w:sz w:val="21"/>
          <w:szCs w:val="21"/>
          <w:shd w:val="clear" w:color="auto" w:fill="FFFFFF"/>
        </w:rPr>
        <w:t>方向班学习费用</w:t>
      </w:r>
    </w:p>
    <w:p>
      <w:pPr>
        <w:pStyle w:val="6"/>
        <w:widowControl/>
        <w:shd w:val="clear" w:color="auto" w:fill="FFFFFF"/>
        <w:spacing w:beforeAutospacing="0" w:afterAutospacing="0" w:line="480" w:lineRule="exact"/>
        <w:ind w:firstLine="42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1.湖南财政经济学院财政金融学院金融学专业正常学费。</w:t>
      </w:r>
    </w:p>
    <w:p>
      <w:pPr>
        <w:pStyle w:val="6"/>
        <w:widowControl/>
        <w:shd w:val="clear" w:color="auto" w:fill="FFFFFF"/>
        <w:spacing w:beforeAutospacing="0" w:afterAutospacing="0" w:line="480" w:lineRule="exact"/>
        <w:ind w:left="630" w:leftChars="200" w:hanging="210" w:hangingChars="100"/>
        <w:jc w:val="both"/>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shd w:val="clear" w:color="auto" w:fill="FFFFFF"/>
        </w:rPr>
        <w:t>2.金融学CFA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方向班课程培训费核定标准按11000元/学年收取，（共收取四年，每学年与本科学费一并缴纳）共计44000元。</w:t>
      </w:r>
    </w:p>
    <w:p>
      <w:pPr>
        <w:pStyle w:val="6"/>
        <w:widowControl/>
        <w:shd w:val="clear" w:color="auto" w:fill="FFFFFF"/>
        <w:spacing w:beforeAutospacing="0" w:afterAutospacing="0" w:line="480" w:lineRule="exact"/>
        <w:ind w:left="630" w:leftChars="200" w:hanging="210" w:hangingChars="100"/>
        <w:jc w:val="both"/>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shd w:val="clear" w:color="auto" w:fill="FFFFFF"/>
        </w:rPr>
        <w:t>3.CFA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课程培训费包括在校期间课程面授学费、配套的网络课程和讲义费等。</w:t>
      </w:r>
    </w:p>
    <w:p>
      <w:pPr>
        <w:pStyle w:val="6"/>
        <w:widowControl/>
        <w:shd w:val="clear" w:color="auto" w:fill="FFFFFF"/>
        <w:spacing w:beforeAutospacing="0" w:afterAutospacing="0" w:line="480" w:lineRule="exact"/>
        <w:ind w:firstLine="420"/>
        <w:jc w:val="both"/>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shd w:val="clear" w:color="auto" w:fill="FFFFFF"/>
        </w:rPr>
        <w:t>4.后续根据学生报考情况，学生需向CFA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官方缴纳注册费、年费、报考费等。</w:t>
      </w:r>
    </w:p>
    <w:p>
      <w:pPr>
        <w:pStyle w:val="6"/>
        <w:widowControl/>
        <w:spacing w:beforeLines="50" w:beforeAutospacing="0" w:afterLines="50" w:afterAutospacing="0" w:line="480" w:lineRule="exact"/>
        <w:jc w:val="both"/>
        <w:rPr>
          <w:rStyle w:val="8"/>
          <w:rFonts w:ascii="微软雅黑" w:hAnsi="微软雅黑" w:eastAsia="微软雅黑" w:cs="微软雅黑"/>
          <w:color w:val="auto"/>
          <w:sz w:val="21"/>
          <w:szCs w:val="21"/>
          <w:shd w:val="clear" w:color="auto" w:fill="FFFFFF"/>
        </w:rPr>
      </w:pPr>
      <w:r>
        <w:rPr>
          <w:rStyle w:val="8"/>
          <w:rFonts w:hint="eastAsia" w:ascii="微软雅黑" w:hAnsi="微软雅黑" w:eastAsia="微软雅黑" w:cs="微软雅黑"/>
          <w:color w:val="auto"/>
          <w:sz w:val="21"/>
          <w:szCs w:val="21"/>
          <w:shd w:val="clear" w:color="auto" w:fill="FFFFFF"/>
        </w:rPr>
        <w:t>七、联系方式</w:t>
      </w:r>
    </w:p>
    <w:p>
      <w:pPr>
        <w:pStyle w:val="6"/>
        <w:widowControl/>
        <w:shd w:val="clear" w:color="auto" w:fill="FFFFFF"/>
        <w:spacing w:beforeAutospacing="0" w:afterAutospacing="0" w:line="480" w:lineRule="exact"/>
        <w:ind w:firstLine="480"/>
        <w:jc w:val="both"/>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shd w:val="clear" w:color="auto" w:fill="FFFFFF"/>
        </w:rPr>
        <w:t>1．咨询电话：15580035296（叶老师）   18973197913（杨老师）</w:t>
      </w:r>
    </w:p>
    <w:p>
      <w:pPr>
        <w:pStyle w:val="6"/>
        <w:widowControl/>
        <w:shd w:val="clear" w:color="auto" w:fill="FFFFFF"/>
        <w:spacing w:beforeAutospacing="0" w:afterAutospacing="0" w:line="480" w:lineRule="exact"/>
        <w:ind w:firstLine="1890" w:firstLineChars="9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13875814261（谭老师）   13973182610（李老师）</w:t>
      </w:r>
    </w:p>
    <w:p>
      <w:pPr>
        <w:pStyle w:val="6"/>
        <w:widowControl/>
        <w:numPr>
          <w:ilvl w:val="0"/>
          <w:numId w:val="2"/>
        </w:numPr>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bookmarkStart w:id="0" w:name="OLE_LINK1"/>
      <w:r>
        <w:rPr>
          <w:rFonts w:hint="eastAsia" w:ascii="微软雅黑" w:hAnsi="微软雅黑" w:eastAsia="微软雅黑" w:cs="微软雅黑"/>
          <w:color w:val="auto"/>
          <w:sz w:val="21"/>
          <w:szCs w:val="21"/>
          <w:shd w:val="clear" w:color="auto" w:fill="FFFFFF"/>
        </w:rPr>
        <w:t>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新生咨询群(QQ): 1083957552</w:t>
      </w:r>
    </w:p>
    <w:p>
      <w:pPr>
        <w:pStyle w:val="6"/>
        <w:widowControl/>
        <w:numPr>
          <w:ilvl w:val="0"/>
          <w:numId w:val="2"/>
        </w:numPr>
        <w:shd w:val="clear" w:color="auto" w:fill="FFFFFF"/>
        <w:spacing w:beforeAutospacing="0" w:afterAutospacing="0" w:line="480" w:lineRule="exact"/>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咨询办公室：校办公楼一楼109室（CFA</w:t>
      </w:r>
      <w:r>
        <w:rPr>
          <w:rFonts w:hint="eastAsia" w:ascii="微软雅黑" w:hAnsi="微软雅黑" w:eastAsia="微软雅黑" w:cs="微软雅黑"/>
          <w:b/>
          <w:color w:val="auto"/>
          <w:kern w:val="44"/>
          <w:sz w:val="21"/>
          <w:szCs w:val="21"/>
          <w:shd w:val="clear" w:color="auto" w:fill="FFFFFF"/>
        </w:rPr>
        <w:t>®</w:t>
      </w:r>
      <w:r>
        <w:rPr>
          <w:rFonts w:hint="eastAsia" w:ascii="微软雅黑" w:hAnsi="微软雅黑" w:eastAsia="微软雅黑" w:cs="微软雅黑"/>
          <w:color w:val="auto"/>
          <w:sz w:val="21"/>
          <w:szCs w:val="21"/>
          <w:shd w:val="clear" w:color="auto" w:fill="FFFFFF"/>
        </w:rPr>
        <w:t>&amp;FRM</w:t>
      </w:r>
      <w:r>
        <w:rPr>
          <w:rFonts w:hint="eastAsia" w:ascii="微软雅黑" w:hAnsi="微软雅黑" w:eastAsia="微软雅黑" w:cs="微软雅黑"/>
          <w:b/>
          <w:color w:val="auto"/>
          <w:kern w:val="44"/>
          <w:sz w:val="21"/>
          <w:szCs w:val="21"/>
          <w:shd w:val="clear" w:color="auto" w:fill="FFFFFF"/>
        </w:rPr>
        <w:t>®</w:t>
      </w:r>
      <w:r>
        <w:rPr>
          <w:rFonts w:hint="eastAsia" w:ascii="微软雅黑" w:hAnsi="微软雅黑" w:eastAsia="微软雅黑" w:cs="微软雅黑"/>
          <w:color w:val="auto"/>
          <w:sz w:val="21"/>
          <w:szCs w:val="21"/>
          <w:shd w:val="clear" w:color="auto" w:fill="FFFFFF"/>
        </w:rPr>
        <w:t>教育中心）</w:t>
      </w:r>
      <w:bookmarkEnd w:id="0"/>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shd w:val="clear" w:color="auto" w:fill="FFFFFF"/>
        </w:rPr>
        <w:t>3．官方地址：http://www.hufe.edu.cn/hncywz/jrxy</w:t>
      </w: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4．网上报名网址：</w:t>
      </w:r>
      <w:r>
        <w:rPr>
          <w:rFonts w:hint="eastAsia"/>
          <w:color w:val="auto"/>
        </w:rPr>
        <w:fldChar w:fldCharType="begin"/>
      </w:r>
      <w:r>
        <w:rPr>
          <w:color w:val="auto"/>
        </w:rPr>
        <w:instrText xml:space="preserve"> HYPERLINK "https://www.wjx.cn/jq/41711908.aspx或微信扫描二维码" </w:instrText>
      </w:r>
      <w:r>
        <w:rPr>
          <w:rFonts w:hint="eastAsia"/>
          <w:color w:val="auto"/>
        </w:rPr>
        <w:fldChar w:fldCharType="separate"/>
      </w:r>
      <w:r>
        <w:rPr>
          <w:rStyle w:val="11"/>
          <w:rFonts w:hint="eastAsia" w:ascii="微软雅黑" w:hAnsi="微软雅黑" w:eastAsia="微软雅黑" w:cs="微软雅黑"/>
          <w:color w:val="auto"/>
          <w:sz w:val="21"/>
          <w:szCs w:val="21"/>
          <w:shd w:val="clear" w:color="auto" w:fill="FFFFFF"/>
        </w:rPr>
        <w:t>https://jinshuju.net/f/J9yVCp或微信扫描二维码</w:t>
      </w:r>
      <w:r>
        <w:rPr>
          <w:rStyle w:val="11"/>
          <w:rFonts w:hint="eastAsia" w:ascii="微软雅黑" w:hAnsi="微软雅黑" w:eastAsia="微软雅黑" w:cs="微软雅黑"/>
          <w:color w:val="auto"/>
          <w:sz w:val="21"/>
          <w:szCs w:val="21"/>
          <w:shd w:val="clear" w:color="auto" w:fill="FFFFFF"/>
        </w:rPr>
        <w:fldChar w:fldCharType="end"/>
      </w: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drawing>
          <wp:anchor distT="0" distB="0" distL="114300" distR="114300" simplePos="0" relativeHeight="251664384" behindDoc="0" locked="0" layoutInCell="1" allowOverlap="1">
            <wp:simplePos x="0" y="0"/>
            <wp:positionH relativeFrom="column">
              <wp:posOffset>3381375</wp:posOffset>
            </wp:positionH>
            <wp:positionV relativeFrom="paragraph">
              <wp:posOffset>81915</wp:posOffset>
            </wp:positionV>
            <wp:extent cx="935990" cy="935990"/>
            <wp:effectExtent l="0" t="0" r="16510" b="16510"/>
            <wp:wrapNone/>
            <wp:docPr id="4" name="图片 4" descr="湖南财政经济学院2020年金融学专业CFA&amp;FRM方向班 预报名表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湖南财政经济学院2020年金融学专业CFA&amp;FRM方向班 预报名表_二维码"/>
                    <pic:cNvPicPr>
                      <a:picLocks noChangeAspect="1"/>
                    </pic:cNvPicPr>
                  </pic:nvPicPr>
                  <pic:blipFill>
                    <a:blip r:embed="rId5"/>
                    <a:stretch>
                      <a:fillRect/>
                    </a:stretch>
                  </pic:blipFill>
                  <pic:spPr>
                    <a:xfrm>
                      <a:off x="0" y="0"/>
                      <a:ext cx="935990" cy="935990"/>
                    </a:xfrm>
                    <a:prstGeom prst="rect">
                      <a:avLst/>
                    </a:prstGeom>
                  </pic:spPr>
                </pic:pic>
              </a:graphicData>
            </a:graphic>
          </wp:anchor>
        </w:drawing>
      </w:r>
      <w:r>
        <w:rPr>
          <w:rFonts w:hint="eastAsia" w:ascii="微软雅黑" w:hAnsi="微软雅黑" w:eastAsia="微软雅黑" w:cs="微软雅黑"/>
          <w:color w:val="auto"/>
          <w:shd w:val="clear" w:color="auto" w:fill="FFFFFF"/>
        </w:rPr>
        <w:drawing>
          <wp:anchor distT="0" distB="0" distL="114300" distR="114300" simplePos="0" relativeHeight="251663360" behindDoc="0" locked="0" layoutInCell="1" allowOverlap="1">
            <wp:simplePos x="0" y="0"/>
            <wp:positionH relativeFrom="column">
              <wp:posOffset>600075</wp:posOffset>
            </wp:positionH>
            <wp:positionV relativeFrom="paragraph">
              <wp:posOffset>34290</wp:posOffset>
            </wp:positionV>
            <wp:extent cx="1292225" cy="1358265"/>
            <wp:effectExtent l="0" t="0" r="3175" b="13335"/>
            <wp:wrapNone/>
            <wp:docPr id="2" name="图片 2" descr="HUFE2020级CFA&amp;FRM方向班新生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UFE2020级CFA&amp;FRM方向班新生群群聊二维码"/>
                    <pic:cNvPicPr>
                      <a:picLocks noChangeAspect="1"/>
                    </pic:cNvPicPr>
                  </pic:nvPicPr>
                  <pic:blipFill>
                    <a:blip r:embed="rId6"/>
                    <a:stretch>
                      <a:fillRect/>
                    </a:stretch>
                  </pic:blipFill>
                  <pic:spPr>
                    <a:xfrm>
                      <a:off x="0" y="0"/>
                      <a:ext cx="1292225" cy="1358265"/>
                    </a:xfrm>
                    <a:prstGeom prst="rect">
                      <a:avLst/>
                    </a:prstGeom>
                  </pic:spPr>
                </pic:pic>
              </a:graphicData>
            </a:graphic>
          </wp:anchor>
        </w:drawing>
      </w: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hd w:val="clear" w:color="auto" w:fill="FFFFFF"/>
        </w:rPr>
      </w:pP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hd w:val="clear" w:color="auto" w:fill="FFFFFF"/>
        </w:rPr>
      </w:pP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hd w:val="clear" w:color="auto" w:fill="FFFFFF"/>
        </w:rPr>
      </w:pPr>
      <w:r>
        <w:rPr>
          <w:rFonts w:ascii="微软雅黑" w:hAnsi="微软雅黑" w:eastAsia="微软雅黑" w:cs="微软雅黑"/>
          <w:color w:val="auto"/>
        </w:rPr>
        <mc:AlternateContent>
          <mc:Choice Requires="wps">
            <w:drawing>
              <wp:anchor distT="0" distB="0" distL="114300" distR="114300" simplePos="0" relativeHeight="251662336" behindDoc="0" locked="0" layoutInCell="1" allowOverlap="1">
                <wp:simplePos x="0" y="0"/>
                <wp:positionH relativeFrom="column">
                  <wp:posOffset>3147060</wp:posOffset>
                </wp:positionH>
                <wp:positionV relativeFrom="paragraph">
                  <wp:posOffset>131445</wp:posOffset>
                </wp:positionV>
                <wp:extent cx="1504950" cy="304800"/>
                <wp:effectExtent l="6350" t="6350" r="12700" b="19050"/>
                <wp:wrapNone/>
                <wp:docPr id="7" name="文本框 7"/>
                <wp:cNvGraphicFramePr/>
                <a:graphic xmlns:a="http://schemas.openxmlformats.org/drawingml/2006/main">
                  <a:graphicData uri="http://schemas.microsoft.com/office/word/2010/wordprocessingShape">
                    <wps:wsp>
                      <wps:cNvSpPr txBox="1"/>
                      <wps:spPr>
                        <a:xfrm>
                          <a:off x="4251960" y="8338185"/>
                          <a:ext cx="1504950" cy="304800"/>
                        </a:xfrm>
                        <a:prstGeom prst="rect">
                          <a:avLst/>
                        </a:prstGeom>
                        <a:solidFill>
                          <a:srgbClr val="FFFFFF"/>
                        </a:solidFill>
                        <a:ln w="6350">
                          <a:solidFill>
                            <a:prstClr val="black"/>
                          </a:solidFill>
                        </a:ln>
                        <a:effectLst/>
                      </wps:spPr>
                      <wps:txbx>
                        <w:txbxContent>
                          <w:p>
                            <w:r>
                              <w:rPr>
                                <w:rFonts w:hint="eastAsia"/>
                              </w:rPr>
                              <w:t>微信扫描线上预报名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8pt;margin-top:10.35pt;height:24pt;width:118.5pt;z-index:251662336;mso-width-relative:page;mso-height-relative:page;" fillcolor="#FFFFFF" filled="t" stroked="t" coordsize="21600,21600" o:gfxdata="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4CU4+1gAAAAkBAAAPAAAAAAAAAAEAIAAAADgAAABkcnMvZG93bnJldi54bWxQSwECFAAU&#10;AAAACACHTuJAh/e1bE8CAACDBAAADgAAAAAAAAABACAAAAA7AQAAZHJzL2Uyb0RvYy54bWxQSwUG&#10;AAAAAAYABgBZAQAA/AUAAAAA&#10;">
                <v:fill on="t" focussize="0,0"/>
                <v:stroke weight="0.5pt" color="#000000" joinstyle="round"/>
                <v:imagedata o:title=""/>
                <o:lock v:ext="edit" aspectratio="f"/>
                <v:textbox>
                  <w:txbxContent>
                    <w:p>
                      <w:r>
                        <w:rPr>
                          <w:rFonts w:hint="eastAsia"/>
                        </w:rPr>
                        <w:t>微信扫描线上预报名</w:t>
                      </w:r>
                    </w:p>
                  </w:txbxContent>
                </v:textbox>
              </v:shape>
            </w:pict>
          </mc:Fallback>
        </mc:AlternateContent>
      </w: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13"/>
          <w:szCs w:val="13"/>
          <w:shd w:val="clear" w:color="auto" w:fill="FFFFFF"/>
        </w:rPr>
      </w:pP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18"/>
          <w:szCs w:val="18"/>
          <w:shd w:val="clear" w:color="auto" w:fill="FFFFFF"/>
        </w:rPr>
      </w:pPr>
      <w:r>
        <w:rPr>
          <w:rFonts w:hint="eastAsia" w:ascii="微软雅黑" w:hAnsi="微软雅黑" w:eastAsia="微软雅黑" w:cs="微软雅黑"/>
          <w:color w:val="auto"/>
          <w:sz w:val="18"/>
          <w:szCs w:val="18"/>
          <w:shd w:val="clear" w:color="auto" w:fill="FFFFFF"/>
        </w:rPr>
        <w:t>CFA Institute does not endorse, promote, or warrant the accuracy or quality of the products or services offered by ZBG Education. CFAand Chartered Financial Analyst Are registered trademarks owned by CFA Institute.</w:t>
      </w: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13"/>
          <w:szCs w:val="13"/>
          <w:shd w:val="clear" w:color="auto" w:fill="FFFFFF"/>
        </w:rPr>
      </w:pP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温馨提示：</w:t>
      </w:r>
    </w:p>
    <w:p>
      <w:pPr>
        <w:pStyle w:val="6"/>
        <w:widowControl/>
        <w:shd w:val="clear" w:color="auto" w:fill="FFFFFF"/>
        <w:spacing w:beforeAutospacing="0" w:afterAutospacing="0"/>
        <w:ind w:firstLine="420" w:firstLineChars="2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(一)我校金融学专业CFA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方向班的所有招生信息都以我校财政金融学院官方网站公布的信息或广大学生所收到的录取通知书中的招生简章为准。</w:t>
      </w:r>
    </w:p>
    <w:p>
      <w:pPr>
        <w:pStyle w:val="6"/>
        <w:widowControl/>
        <w:shd w:val="clear" w:color="auto" w:fill="FFFFFF"/>
        <w:spacing w:beforeAutospacing="0" w:afterAutospacing="0"/>
        <w:ind w:firstLine="420" w:firstLineChars="2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(二)我校金融学专业(CFA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方向班)的招生录取除我校财政金融学院及合作企业(广州中博教育股份有限公司)参与外，未授权任何单位及个人开展招生宣传及录取。</w:t>
      </w:r>
    </w:p>
    <w:p>
      <w:pPr>
        <w:pStyle w:val="6"/>
        <w:widowControl/>
        <w:shd w:val="clear" w:color="auto" w:fill="FFFFFF"/>
        <w:spacing w:beforeAutospacing="0" w:afterAutospacing="0"/>
        <w:ind w:firstLine="420" w:firstLineChars="2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(三))我校金融学专业CFA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的所有宣传及招生活动均在湖南财政经济学院校内办公或教学场所进行，例如，学校办公楼一楼财政金融学院的办公室、学校第二教学楼或第三教学楼、学校所统一安排的新生入学报到场所。在校外一律未设招生咨询地点，在校内的非办公或教学场所一律不设招生咨询点。所有的招生咨询地点已经过学校或财政金融学院许可，对外完全公开透明。</w:t>
      </w:r>
    </w:p>
    <w:p>
      <w:pPr>
        <w:pStyle w:val="6"/>
        <w:widowControl/>
        <w:shd w:val="clear" w:color="auto" w:fill="FFFFFF"/>
        <w:spacing w:beforeAutospacing="0" w:afterAutospacing="0"/>
        <w:ind w:firstLine="420" w:firstLineChars="200"/>
        <w:jc w:val="both"/>
        <w:rPr>
          <w:rFonts w:ascii="微软雅黑" w:hAnsi="微软雅黑" w:eastAsia="微软雅黑" w:cs="微软雅黑"/>
          <w:color w:val="auto"/>
          <w:sz w:val="21"/>
          <w:szCs w:val="21"/>
          <w:shd w:val="clear" w:color="auto" w:fill="FFFFFF"/>
        </w:rPr>
      </w:pPr>
      <w:r>
        <w:rPr>
          <w:rFonts w:hint="eastAsia" w:ascii="微软雅黑" w:hAnsi="微软雅黑" w:eastAsia="微软雅黑" w:cs="微软雅黑"/>
          <w:color w:val="auto"/>
          <w:sz w:val="21"/>
          <w:szCs w:val="21"/>
          <w:shd w:val="clear" w:color="auto" w:fill="FFFFFF"/>
        </w:rPr>
        <w:t>(四)对于打着我校或相关单位旗号或冒充我校学生名义等方式开展金融学(CFA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方向班)招生的行为，希望各位新生加以认真甄别，以免上当受骗。了解我校金融学(CFA</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&amp;FRM</w:t>
      </w:r>
      <w:r>
        <w:rPr>
          <w:rFonts w:ascii="Arial" w:hAnsi="Arial" w:eastAsia="微软雅黑" w:cs="Arial"/>
          <w:b/>
          <w:color w:val="auto"/>
          <w:sz w:val="36"/>
          <w:szCs w:val="36"/>
          <w:shd w:val="clear" w:color="auto" w:fill="FFFFFF"/>
          <w:vertAlign w:val="superscript"/>
        </w:rPr>
        <w:t>®</w:t>
      </w:r>
      <w:r>
        <w:rPr>
          <w:rFonts w:hint="eastAsia" w:ascii="微软雅黑" w:hAnsi="微软雅黑" w:eastAsia="微软雅黑" w:cs="微软雅黑"/>
          <w:color w:val="auto"/>
          <w:sz w:val="21"/>
          <w:szCs w:val="21"/>
          <w:shd w:val="clear" w:color="auto" w:fill="FFFFFF"/>
        </w:rPr>
        <w:t>方向班)的有关信息或有关咨询的事项，请查看以上公布的官网地址及联系我校财政金融学院所指定的招生咨询人员。</w:t>
      </w:r>
    </w:p>
    <w:p>
      <w:pPr>
        <w:pStyle w:val="6"/>
        <w:widowControl/>
        <w:shd w:val="clear" w:color="auto" w:fill="FFFFFF"/>
        <w:spacing w:beforeAutospacing="0" w:afterAutospacing="0" w:line="480" w:lineRule="exact"/>
        <w:ind w:left="450"/>
        <w:jc w:val="both"/>
        <w:rPr>
          <w:rFonts w:ascii="微软雅黑" w:hAnsi="微软雅黑" w:eastAsia="微软雅黑" w:cs="微软雅黑"/>
          <w:color w:val="auto"/>
          <w:sz w:val="21"/>
          <w:szCs w:val="21"/>
          <w:shd w:val="clear" w:color="auto" w:fill="FFFFFF"/>
        </w:rPr>
      </w:pPr>
    </w:p>
    <w:sectPr>
      <w:headerReference r:id="rId3" w:type="default"/>
      <w:pgSz w:w="11906" w:h="16838"/>
      <w:pgMar w:top="816" w:right="1236" w:bottom="1440" w:left="1417"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微软雅黑">
    <w:altName w:val="汉仪旗黑"/>
    <w:panose1 w:val="020B0503020204020204"/>
    <w:charset w:val="86"/>
    <w:family w:val="swiss"/>
    <w:pitch w:val="default"/>
    <w:sig w:usb0="00000000" w:usb1="00000000" w:usb2="00000016" w:usb3="00000000" w:csb0="0004001F" w:csb1="00000000"/>
  </w:font>
  <w:font w:name="Arial">
    <w:panose1 w:val="020B0604020202090204"/>
    <w:charset w:val="00"/>
    <w:family w:val="swiss"/>
    <w:pitch w:val="default"/>
    <w:sig w:usb0="E0000AFF" w:usb1="00007843" w:usb2="00000001" w:usb3="00000000" w:csb0="400001BF" w:csb1="DFF70000"/>
  </w:font>
  <w:font w:name="思源黑体 CN ExtraLight">
    <w:altName w:val="冬青黑体简体中文"/>
    <w:panose1 w:val="00000000000000000000"/>
    <w:charset w:val="86"/>
    <w:family w:val="auto"/>
    <w:pitch w:val="default"/>
    <w:sig w:usb0="00000000" w:usb1="00000000" w:usb2="00000016" w:usb3="00000000" w:csb0="60060107"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思源黑体 CN ExtraLight" w:hAnsi="思源黑体 CN ExtraLight" w:eastAsia="思源黑体 CN ExtraLight" w:cs="思源黑体 CN ExtraLight"/>
        <w:sz w:val="21"/>
        <w:szCs w:val="21"/>
      </w:rPr>
    </w:pPr>
    <w:r>
      <w:rPr>
        <w:rFonts w:hint="eastAsia" w:ascii="思源黑体 CN ExtraLight" w:hAnsi="思源黑体 CN ExtraLight" w:eastAsia="思源黑体 CN ExtraLight" w:cs="思源黑体 CN ExtraLight"/>
        <w:sz w:val="21"/>
        <w:szCs w:val="21"/>
      </w:rPr>
      <w:drawing>
        <wp:anchor distT="0" distB="0" distL="114300" distR="114300" simplePos="0" relativeHeight="251658240" behindDoc="1" locked="0" layoutInCell="1" allowOverlap="1">
          <wp:simplePos x="0" y="0"/>
          <wp:positionH relativeFrom="column">
            <wp:posOffset>22860</wp:posOffset>
          </wp:positionH>
          <wp:positionV relativeFrom="paragraph">
            <wp:posOffset>-76835</wp:posOffset>
          </wp:positionV>
          <wp:extent cx="1046480" cy="302895"/>
          <wp:effectExtent l="0" t="0" r="1270" b="1905"/>
          <wp:wrapThrough wrapText="bothSides">
            <wp:wrapPolygon>
              <wp:start x="0" y="0"/>
              <wp:lineTo x="0" y="20377"/>
              <wp:lineTo x="21233" y="20377"/>
              <wp:lineTo x="21233" y="0"/>
              <wp:lineTo x="0" y="0"/>
            </wp:wrapPolygon>
          </wp:wrapThrough>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1"/>
                  <a:stretch>
                    <a:fillRect/>
                  </a:stretch>
                </pic:blipFill>
                <pic:spPr>
                  <a:xfrm>
                    <a:off x="0" y="0"/>
                    <a:ext cx="1046480" cy="302895"/>
                  </a:xfrm>
                  <a:prstGeom prst="rect">
                    <a:avLst/>
                  </a:prstGeom>
                </pic:spPr>
              </pic:pic>
            </a:graphicData>
          </a:graphic>
        </wp:anchor>
      </w:drawing>
    </w:r>
    <w:r>
      <w:rPr>
        <w:rFonts w:hint="eastAsia" w:ascii="思源黑体 CN ExtraLight" w:hAnsi="思源黑体 CN ExtraLight" w:eastAsia="思源黑体 CN ExtraLight" w:cs="思源黑体 CN ExtraLight"/>
        <w:sz w:val="21"/>
        <w:szCs w:val="21"/>
      </w:rPr>
      <w:t>财院CFA®&amp;FRM®——打造国际金融全才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A252DA"/>
    <w:multiLevelType w:val="singleLevel"/>
    <w:tmpl w:val="DFA252DA"/>
    <w:lvl w:ilvl="0" w:tentative="0">
      <w:start w:val="2"/>
      <w:numFmt w:val="decimal"/>
      <w:suff w:val="nothing"/>
      <w:lvlText w:val="%1．"/>
      <w:lvlJc w:val="left"/>
      <w:pPr>
        <w:ind w:left="480" w:firstLine="0"/>
      </w:pPr>
    </w:lvl>
  </w:abstractNum>
  <w:abstractNum w:abstractNumId="1">
    <w:nsid w:val="4D215FAC"/>
    <w:multiLevelType w:val="singleLevel"/>
    <w:tmpl w:val="4D215FA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412DE"/>
    <w:rsid w:val="00014B03"/>
    <w:rsid w:val="00057967"/>
    <w:rsid w:val="00066197"/>
    <w:rsid w:val="000B3BB7"/>
    <w:rsid w:val="001026C8"/>
    <w:rsid w:val="00154A7B"/>
    <w:rsid w:val="00154C3D"/>
    <w:rsid w:val="00252087"/>
    <w:rsid w:val="002720FD"/>
    <w:rsid w:val="0028738B"/>
    <w:rsid w:val="002A2A4D"/>
    <w:rsid w:val="002D1A46"/>
    <w:rsid w:val="00356B80"/>
    <w:rsid w:val="00385366"/>
    <w:rsid w:val="003A2E22"/>
    <w:rsid w:val="00416440"/>
    <w:rsid w:val="005D7931"/>
    <w:rsid w:val="006D3392"/>
    <w:rsid w:val="007530FA"/>
    <w:rsid w:val="007A00B7"/>
    <w:rsid w:val="00830B91"/>
    <w:rsid w:val="00867DF0"/>
    <w:rsid w:val="008E667D"/>
    <w:rsid w:val="00944C46"/>
    <w:rsid w:val="00AB3970"/>
    <w:rsid w:val="00B11E89"/>
    <w:rsid w:val="00B66941"/>
    <w:rsid w:val="00B72E09"/>
    <w:rsid w:val="00BD6D14"/>
    <w:rsid w:val="00C17A47"/>
    <w:rsid w:val="00D47339"/>
    <w:rsid w:val="00D91CD5"/>
    <w:rsid w:val="00EE1D35"/>
    <w:rsid w:val="00F049A6"/>
    <w:rsid w:val="03600CF9"/>
    <w:rsid w:val="0B234E91"/>
    <w:rsid w:val="0C0C65AD"/>
    <w:rsid w:val="0C2D3693"/>
    <w:rsid w:val="0E463DA0"/>
    <w:rsid w:val="1A214DCC"/>
    <w:rsid w:val="1E7F0191"/>
    <w:rsid w:val="209412DE"/>
    <w:rsid w:val="21921787"/>
    <w:rsid w:val="256661AE"/>
    <w:rsid w:val="26A4050C"/>
    <w:rsid w:val="2D074F8B"/>
    <w:rsid w:val="357F0269"/>
    <w:rsid w:val="368947D0"/>
    <w:rsid w:val="3E391DE3"/>
    <w:rsid w:val="4EDD26E9"/>
    <w:rsid w:val="565F6EC8"/>
    <w:rsid w:val="58B24129"/>
    <w:rsid w:val="5B7042CC"/>
    <w:rsid w:val="5BBB45F4"/>
    <w:rsid w:val="67633FF8"/>
    <w:rsid w:val="6AD9408D"/>
    <w:rsid w:val="6B8D66B9"/>
    <w:rsid w:val="6D6C0DFC"/>
    <w:rsid w:val="6FAE9561"/>
    <w:rsid w:val="74841E0B"/>
    <w:rsid w:val="77752EFB"/>
    <w:rsid w:val="7A513535"/>
    <w:rsid w:val="7C382771"/>
    <w:rsid w:val="CFBF7B8D"/>
    <w:rsid w:val="DE64CD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semiHidden="0" w:name="HTML Cite" w:locked="1"/>
    <w:lsdException w:qFormat="1" w:uiPriority="99" w:semiHidden="0"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spacing w:beforeAutospacing="1" w:afterAutospacing="1"/>
      <w:jc w:val="left"/>
      <w:outlineLvl w:val="0"/>
    </w:pPr>
    <w:rPr>
      <w:rFonts w:ascii="宋体" w:hAnsi="宋体"/>
      <w:b/>
      <w:kern w:val="44"/>
      <w:sz w:val="48"/>
      <w:szCs w:val="48"/>
    </w:rPr>
  </w:style>
  <w:style w:type="character" w:default="1" w:styleId="7">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before="42"/>
      <w:ind w:left="120"/>
    </w:pPr>
    <w:rPr>
      <w:rFonts w:ascii="仿宋" w:hAnsi="仿宋" w:eastAsia="仿宋" w:cs="仿宋"/>
      <w:sz w:val="28"/>
      <w:szCs w:val="28"/>
    </w:rPr>
  </w:style>
  <w:style w:type="paragraph" w:styleId="4">
    <w:name w:val="footer"/>
    <w:basedOn w:val="1"/>
    <w:link w:val="18"/>
    <w:unhideWhenUsed/>
    <w:qFormat/>
    <w:locked/>
    <w:uiPriority w:val="99"/>
    <w:pPr>
      <w:tabs>
        <w:tab w:val="center" w:pos="4153"/>
        <w:tab w:val="right" w:pos="8306"/>
      </w:tabs>
      <w:snapToGrid w:val="0"/>
      <w:jc w:val="left"/>
    </w:pPr>
    <w:rPr>
      <w:sz w:val="18"/>
      <w:szCs w:val="18"/>
    </w:rPr>
  </w:style>
  <w:style w:type="paragraph" w:styleId="5">
    <w:name w:val="header"/>
    <w:basedOn w:val="1"/>
    <w:link w:val="17"/>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8">
    <w:name w:val="Strong"/>
    <w:basedOn w:val="7"/>
    <w:qFormat/>
    <w:uiPriority w:val="99"/>
    <w:rPr>
      <w:rFonts w:cs="Times New Roman"/>
      <w:b/>
    </w:rPr>
  </w:style>
  <w:style w:type="character" w:styleId="9">
    <w:name w:val="FollowedHyperlink"/>
    <w:basedOn w:val="7"/>
    <w:unhideWhenUsed/>
    <w:qFormat/>
    <w:locked/>
    <w:uiPriority w:val="99"/>
    <w:rPr>
      <w:color w:val="393939"/>
      <w:u w:val="none"/>
    </w:rPr>
  </w:style>
  <w:style w:type="character" w:styleId="10">
    <w:name w:val="Emphasis"/>
    <w:basedOn w:val="7"/>
    <w:qFormat/>
    <w:locked/>
    <w:uiPriority w:val="20"/>
    <w:rPr>
      <w:i/>
    </w:rPr>
  </w:style>
  <w:style w:type="character" w:styleId="11">
    <w:name w:val="Hyperlink"/>
    <w:basedOn w:val="7"/>
    <w:qFormat/>
    <w:uiPriority w:val="99"/>
    <w:rPr>
      <w:rFonts w:cs="Times New Roman"/>
      <w:color w:val="0000FF"/>
      <w:u w:val="single"/>
    </w:rPr>
  </w:style>
  <w:style w:type="character" w:styleId="12">
    <w:name w:val="HTML Code"/>
    <w:basedOn w:val="7"/>
    <w:unhideWhenUsed/>
    <w:qFormat/>
    <w:locked/>
    <w:uiPriority w:val="99"/>
    <w:rPr>
      <w:rFonts w:ascii="Courier New" w:hAnsi="Courier New" w:eastAsia="Courier New" w:cs="Courier New"/>
      <w:color w:val="DD1144"/>
      <w:sz w:val="18"/>
      <w:szCs w:val="18"/>
      <w:bdr w:val="single" w:color="E1E1E8" w:sz="6" w:space="0"/>
      <w:shd w:val="clear" w:color="auto" w:fill="F7F7F9"/>
    </w:rPr>
  </w:style>
  <w:style w:type="character" w:styleId="13">
    <w:name w:val="HTML Cite"/>
    <w:basedOn w:val="7"/>
    <w:unhideWhenUsed/>
    <w:qFormat/>
    <w:locked/>
    <w:uiPriority w:val="99"/>
  </w:style>
  <w:style w:type="character" w:customStyle="1" w:styleId="15">
    <w:name w:val="标题 1 Char"/>
    <w:basedOn w:val="7"/>
    <w:link w:val="2"/>
    <w:qFormat/>
    <w:locked/>
    <w:uiPriority w:val="99"/>
    <w:rPr>
      <w:rFonts w:ascii="Calibri" w:hAnsi="Calibri" w:cs="Times New Roman"/>
      <w:b/>
      <w:bCs/>
      <w:kern w:val="44"/>
      <w:sz w:val="44"/>
      <w:szCs w:val="44"/>
    </w:rPr>
  </w:style>
  <w:style w:type="character" w:customStyle="1" w:styleId="16">
    <w:name w:val="正文文本 Char"/>
    <w:basedOn w:val="7"/>
    <w:link w:val="3"/>
    <w:semiHidden/>
    <w:qFormat/>
    <w:locked/>
    <w:uiPriority w:val="99"/>
    <w:rPr>
      <w:rFonts w:ascii="Calibri" w:hAnsi="Calibri" w:cs="Times New Roman"/>
      <w:sz w:val="24"/>
      <w:szCs w:val="24"/>
    </w:rPr>
  </w:style>
  <w:style w:type="character" w:customStyle="1" w:styleId="17">
    <w:name w:val="页眉 Char"/>
    <w:basedOn w:val="7"/>
    <w:link w:val="5"/>
    <w:semiHidden/>
    <w:qFormat/>
    <w:uiPriority w:val="99"/>
    <w:rPr>
      <w:rFonts w:ascii="Calibri" w:hAnsi="Calibri"/>
      <w:kern w:val="2"/>
      <w:sz w:val="18"/>
      <w:szCs w:val="18"/>
    </w:rPr>
  </w:style>
  <w:style w:type="character" w:customStyle="1" w:styleId="18">
    <w:name w:val="页脚 Char"/>
    <w:basedOn w:val="7"/>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531</Words>
  <Characters>3031</Characters>
  <Lines>25</Lines>
  <Paragraphs>7</Paragraphs>
  <ScaleCrop>false</ScaleCrop>
  <LinksUpToDate>false</LinksUpToDate>
  <CharactersWithSpaces>3555</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2020-07-17T23:02:00Z</dcterms:created>
  <dc:creator>ningning</dc:creator>
  <cp:lastModifiedBy>ningyupeng</cp:lastModifiedBy>
  <cp:lastPrinted>2019-06-24T22:34:00Z</cp:lastPrinted>
  <dcterms:modified xsi:type="dcterms:W3CDTF">2020-08-10T09:13:07Z</dcterms:modified>
  <dc:title>2018年招生简章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