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132"/>
          <w:rFonts w:hint="eastAsia"/>
          <w:lang w:eastAsia="zh-CN"/>
        </w:rPr>
      </w:pPr>
    </w:p>
    <w:p>
      <w:pPr>
        <w:jc w:val="center"/>
        <w:rPr>
          <w:rFonts w:ascii="黑体" w:eastAsia="黑体"/>
          <w:b/>
          <w:sz w:val="44"/>
          <w:szCs w:val="44"/>
        </w:rPr>
      </w:pPr>
      <w:r>
        <w:rPr>
          <w:rFonts w:ascii="黑体" w:eastAsia="黑体"/>
          <w:b/>
          <w:sz w:val="44"/>
          <w:szCs w:val="44"/>
        </w:rPr>
        <w:pict>
          <v:shape id="_x0000_s2050" o:spid="_x0000_s2050" o:spt="75" type="#_x0000_t75" style="position:absolute;left:0pt;margin-left:34.75pt;margin-top:22.5pt;height:61.5pt;width:361.5pt;z-index:251660288;mso-width-relative:page;mso-height-relative:page;" o:ole="t" filled="f" o:preferrelative="t" stroked="f" coordsize="21600,21600">
            <v:path/>
            <v:fill on="f" focussize="0,0"/>
            <v:stroke on="f" joinstyle="miter"/>
            <v:imagedata r:id="rId9" o:title=""/>
            <o:lock v:ext="edit" aspectratio="t"/>
          </v:shape>
          <o:OLEObject Type="Embed" ProgID="CorelDraw.Graphic.18" ShapeID="_x0000_s2050" DrawAspect="Content" ObjectID="_1468075725" r:id="rId8">
            <o:LockedField>false</o:LockedField>
          </o:OLEObject>
        </w:pict>
      </w:r>
    </w:p>
    <w:p>
      <w:pPr>
        <w:jc w:val="center"/>
        <w:rPr>
          <w:rFonts w:ascii="黑体" w:eastAsia="黑体"/>
          <w:b/>
          <w:sz w:val="44"/>
          <w:szCs w:val="44"/>
        </w:rPr>
      </w:pPr>
    </w:p>
    <w:p>
      <w:pPr>
        <w:jc w:val="center"/>
        <w:rPr>
          <w:rFonts w:ascii="黑体" w:eastAsia="黑体"/>
          <w:b/>
          <w:sz w:val="48"/>
          <w:szCs w:val="48"/>
        </w:rPr>
      </w:pPr>
    </w:p>
    <w:p>
      <w:pPr>
        <w:jc w:val="center"/>
        <w:rPr>
          <w:rFonts w:hint="eastAsia" w:ascii="黑体" w:eastAsia="黑体"/>
          <w:b/>
          <w:sz w:val="48"/>
          <w:szCs w:val="48"/>
          <w:lang w:eastAsia="zh-CN"/>
        </w:rPr>
      </w:pPr>
    </w:p>
    <w:p>
      <w:pPr>
        <w:jc w:val="center"/>
        <w:rPr>
          <w:rFonts w:ascii="黑体" w:eastAsia="黑体"/>
          <w:b/>
          <w:sz w:val="48"/>
          <w:szCs w:val="48"/>
        </w:rPr>
      </w:pPr>
    </w:p>
    <w:p>
      <w:pPr>
        <w:pStyle w:val="2"/>
      </w:pPr>
    </w:p>
    <w:p>
      <w:pPr>
        <w:jc w:val="center"/>
        <w:rPr>
          <w:rFonts w:ascii="黑体" w:eastAsia="黑体"/>
          <w:b/>
          <w:sz w:val="48"/>
          <w:szCs w:val="48"/>
        </w:rPr>
      </w:pPr>
    </w:p>
    <w:p>
      <w:pPr>
        <w:jc w:val="center"/>
        <w:rPr>
          <w:rFonts w:ascii="黑体" w:eastAsia="黑体"/>
          <w:b/>
          <w:spacing w:val="20"/>
          <w:sz w:val="52"/>
          <w:szCs w:val="52"/>
        </w:rPr>
      </w:pPr>
      <w:r>
        <w:rPr>
          <w:rFonts w:hint="eastAsia" w:ascii="方正小标宋简体" w:hAnsi="方正小标宋简体" w:eastAsia="方正小标宋简体" w:cs="方正小标宋简体"/>
          <w:bCs/>
          <w:spacing w:val="20"/>
          <w:sz w:val="60"/>
          <w:szCs w:val="60"/>
        </w:rPr>
        <w:t>毕业生就业质量报告</w:t>
      </w:r>
    </w:p>
    <w:p>
      <w:pPr>
        <w:spacing w:beforeLines="50"/>
        <w:jc w:val="center"/>
        <w:rPr>
          <w:rFonts w:ascii="黑体" w:eastAsia="黑体"/>
          <w:b/>
          <w:spacing w:val="20"/>
          <w:sz w:val="44"/>
          <w:szCs w:val="44"/>
        </w:rPr>
      </w:pPr>
      <w:r>
        <w:rPr>
          <w:rFonts w:ascii="黑体" w:eastAsia="黑体"/>
          <w:b/>
          <w:spacing w:val="20"/>
          <w:sz w:val="44"/>
          <w:szCs w:val="44"/>
        </w:rPr>
        <w:t xml:space="preserve">  </w:t>
      </w:r>
      <w:r>
        <w:rPr>
          <w:rFonts w:hint="eastAsia" w:ascii="黑体" w:eastAsia="黑体"/>
          <w:b/>
          <w:spacing w:val="20"/>
          <w:sz w:val="44"/>
          <w:szCs w:val="44"/>
        </w:rPr>
        <w:t>（</w:t>
      </w:r>
      <w:r>
        <w:rPr>
          <w:rFonts w:ascii="黑体" w:eastAsia="黑体"/>
          <w:b/>
          <w:spacing w:val="20"/>
          <w:sz w:val="44"/>
          <w:szCs w:val="44"/>
        </w:rPr>
        <w:t>20</w:t>
      </w:r>
      <w:r>
        <w:rPr>
          <w:rFonts w:hint="eastAsia" w:ascii="黑体" w:eastAsia="黑体"/>
          <w:b/>
          <w:spacing w:val="20"/>
          <w:sz w:val="44"/>
          <w:szCs w:val="44"/>
          <w:lang w:val="en-US" w:eastAsia="zh-CN"/>
        </w:rPr>
        <w:t>21</w:t>
      </w:r>
      <w:r>
        <w:rPr>
          <w:rFonts w:hint="eastAsia" w:ascii="黑体" w:eastAsia="黑体"/>
          <w:b/>
          <w:spacing w:val="20"/>
          <w:sz w:val="44"/>
          <w:szCs w:val="44"/>
        </w:rPr>
        <w:t>年）</w:t>
      </w:r>
    </w:p>
    <w:p>
      <w:pPr>
        <w:rPr>
          <w:rFonts w:hint="eastAsia" w:ascii="黑体" w:eastAsia="黑体"/>
          <w:b/>
          <w:sz w:val="44"/>
          <w:szCs w:val="44"/>
          <w:lang w:eastAsia="zh-CN"/>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rPr>
          <w:rFonts w:ascii="黑体" w:eastAsia="黑体"/>
          <w:b/>
          <w:sz w:val="44"/>
          <w:szCs w:val="44"/>
        </w:rPr>
      </w:pPr>
    </w:p>
    <w:p>
      <w:pPr>
        <w:pStyle w:val="2"/>
      </w:pPr>
    </w:p>
    <w:p>
      <w:pPr>
        <w:jc w:val="center"/>
        <w:rPr>
          <w:rFonts w:ascii="黑体" w:eastAsia="黑体"/>
          <w:b/>
          <w:sz w:val="44"/>
          <w:szCs w:val="44"/>
        </w:rPr>
      </w:pPr>
      <w:r>
        <w:rPr>
          <w:rFonts w:hint="eastAsia" w:ascii="黑体" w:eastAsia="黑体"/>
          <w:b/>
          <w:sz w:val="36"/>
          <w:szCs w:val="36"/>
        </w:rPr>
        <w:t>二</w:t>
      </w:r>
      <w:r>
        <w:rPr>
          <w:rFonts w:ascii="黑体" w:eastAsia="黑体"/>
          <w:b/>
          <w:sz w:val="36"/>
          <w:szCs w:val="36"/>
        </w:rPr>
        <w:t>0</w:t>
      </w:r>
      <w:r>
        <w:rPr>
          <w:rFonts w:hint="eastAsia" w:ascii="黑体" w:eastAsia="黑体"/>
          <w:b/>
          <w:sz w:val="36"/>
          <w:szCs w:val="36"/>
          <w:lang w:eastAsia="zh-CN"/>
        </w:rPr>
        <w:t>二一</w:t>
      </w:r>
      <w:r>
        <w:rPr>
          <w:rFonts w:hint="eastAsia" w:ascii="黑体" w:eastAsia="黑体"/>
          <w:b/>
          <w:sz w:val="36"/>
          <w:szCs w:val="36"/>
        </w:rPr>
        <w:t>年十</w:t>
      </w:r>
      <w:r>
        <w:rPr>
          <w:rFonts w:hint="eastAsia" w:ascii="黑体" w:eastAsia="黑体"/>
          <w:b/>
          <w:sz w:val="36"/>
          <w:szCs w:val="36"/>
          <w:lang w:eastAsia="zh-CN"/>
        </w:rPr>
        <w:t>二</w:t>
      </w:r>
      <w:r>
        <w:rPr>
          <w:rFonts w:hint="eastAsia" w:ascii="黑体" w:eastAsia="黑体"/>
          <w:b/>
          <w:sz w:val="36"/>
          <w:szCs w:val="36"/>
        </w:rPr>
        <w:t>月</w:t>
      </w:r>
    </w:p>
    <w:p>
      <w:pPr>
        <w:ind w:firstLine="3264" w:firstLineChars="739"/>
        <w:rPr>
          <w:rFonts w:ascii="黑体" w:eastAsia="黑体"/>
          <w:b/>
          <w:sz w:val="44"/>
          <w:szCs w:val="44"/>
        </w:rPr>
      </w:pPr>
    </w:p>
    <w:p>
      <w:pPr>
        <w:rPr>
          <w:rFonts w:ascii="仿宋_GB2312" w:eastAsia="仿宋_GB2312"/>
          <w:sz w:val="28"/>
          <w:szCs w:val="28"/>
        </w:rPr>
        <w:sectPr>
          <w:headerReference r:id="rId3" w:type="default"/>
          <w:pgSz w:w="11906" w:h="16838"/>
          <w:pgMar w:top="1701"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ind w:left="0" w:leftChars="0" w:firstLine="0" w:firstLineChars="0"/>
        <w:jc w:val="center"/>
        <w:rPr>
          <w:rFonts w:hint="eastAsia" w:ascii="黑体" w:hAnsi="黑体" w:eastAsia="黑体"/>
          <w:b/>
          <w:color w:val="00B0F0"/>
          <w:sz w:val="36"/>
          <w:szCs w:val="36"/>
          <w14:textFill>
            <w14:gradFill>
              <w14:gsLst>
                <w14:gs w14:pos="0">
                  <w14:srgbClr w14:val="007BD3"/>
                </w14:gs>
                <w14:gs w14:pos="100000">
                  <w14:srgbClr w14:val="034373"/>
                </w14:gs>
              </w14:gsLst>
              <w14:lin w14:scaled="0"/>
            </w14:gradFill>
          </w14:textFill>
        </w:rPr>
      </w:pPr>
      <w:r>
        <w:rPr>
          <w:rFonts w:hint="eastAsia" w:ascii="黑体" w:hAnsi="黑体" w:eastAsia="黑体"/>
          <w:b/>
          <w:color w:val="00B0F0"/>
          <w:sz w:val="36"/>
          <w:szCs w:val="36"/>
          <w14:textFill>
            <w14:gradFill>
              <w14:gsLst>
                <w14:gs w14:pos="0">
                  <w14:srgbClr w14:val="007BD3"/>
                </w14:gs>
                <w14:gs w14:pos="100000">
                  <w14:srgbClr w14:val="034373"/>
                </w14:gs>
              </w14:gsLst>
              <w14:lin w14:scaled="0"/>
            </w14:gradFill>
          </w14:textFill>
        </w:rPr>
        <w:t>目   录</w:t>
      </w:r>
    </w:p>
    <w:sdt>
      <w:sdtPr>
        <w:rPr>
          <w:rFonts w:ascii="宋体" w:hAnsi="宋体" w:eastAsia="宋体" w:cs="Times New Roman"/>
          <w:kern w:val="2"/>
          <w:sz w:val="21"/>
          <w:szCs w:val="22"/>
          <w:lang w:val="en-US" w:eastAsia="zh-CN" w:bidi="ar-SA"/>
        </w:rPr>
        <w:id w:val="147470079"/>
        <w15:color w:val="DBDBDB"/>
        <w:docPartObj>
          <w:docPartGallery w:val="Table of Contents"/>
          <w:docPartUnique/>
        </w:docPartObj>
      </w:sdtPr>
      <w:sdtEndPr>
        <w:rPr>
          <w:rFonts w:ascii="Calibri" w:hAnsi="Calibri" w:eastAsia="宋体" w:cs="Times New Roman"/>
          <w:color w:val="auto"/>
          <w:kern w:val="2"/>
          <w:sz w:val="28"/>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8"/>
            <w:tabs>
              <w:tab w:val="right" w:leader="dot" w:pos="8306"/>
            </w:tabs>
            <w:ind w:left="0" w:leftChars="0" w:firstLine="0" w:firstLineChars="0"/>
            <w:rPr>
              <w:color w:val="auto"/>
              <w:sz w:val="28"/>
              <w:szCs w:val="28"/>
            </w:rPr>
          </w:pPr>
          <w:r>
            <w:rPr>
              <w:color w:val="auto"/>
              <w:sz w:val="28"/>
              <w:szCs w:val="28"/>
            </w:rPr>
            <w:fldChar w:fldCharType="begin"/>
          </w:r>
          <w:r>
            <w:rPr>
              <w:color w:val="auto"/>
              <w:sz w:val="28"/>
              <w:szCs w:val="28"/>
            </w:rPr>
            <w:instrText xml:space="preserve">TOC \o "1-3" \h \u </w:instrText>
          </w:r>
          <w:r>
            <w:rPr>
              <w:color w:val="auto"/>
              <w:sz w:val="28"/>
              <w:szCs w:val="28"/>
            </w:rPr>
            <w:fldChar w:fldCharType="separate"/>
          </w:r>
          <w:r>
            <w:rPr>
              <w:color w:val="auto"/>
              <w:sz w:val="28"/>
              <w:szCs w:val="28"/>
            </w:rPr>
            <w:fldChar w:fldCharType="begin"/>
          </w:r>
          <w:r>
            <w:rPr>
              <w:color w:val="auto"/>
              <w:sz w:val="28"/>
              <w:szCs w:val="28"/>
            </w:rPr>
            <w:instrText xml:space="preserve"> HYPERLINK \l _Toc3616 </w:instrText>
          </w:r>
          <w:r>
            <w:rPr>
              <w:color w:val="auto"/>
              <w:sz w:val="28"/>
              <w:szCs w:val="28"/>
            </w:rPr>
            <w:fldChar w:fldCharType="separate"/>
          </w:r>
          <w:r>
            <w:rPr>
              <w:rFonts w:hint="eastAsia" w:ascii="黑体" w:hAnsi="黑体" w:eastAsia="黑体"/>
              <w:color w:val="auto"/>
              <w:sz w:val="28"/>
              <w:szCs w:val="28"/>
            </w:rPr>
            <w:t>湖南财政经济学院</w:t>
          </w:r>
          <w:r>
            <w:rPr>
              <w:rFonts w:ascii="黑体" w:hAnsi="黑体" w:eastAsia="黑体"/>
              <w:color w:val="auto"/>
              <w:sz w:val="28"/>
              <w:szCs w:val="28"/>
            </w:rPr>
            <w:t>20</w:t>
          </w:r>
          <w:r>
            <w:rPr>
              <w:rFonts w:hint="eastAsia" w:ascii="黑体" w:hAnsi="黑体" w:eastAsia="黑体"/>
              <w:color w:val="auto"/>
              <w:sz w:val="28"/>
              <w:szCs w:val="28"/>
              <w:lang w:val="en-US" w:eastAsia="zh-CN"/>
            </w:rPr>
            <w:t>21</w:t>
          </w:r>
          <w:r>
            <w:rPr>
              <w:rFonts w:hint="eastAsia" w:ascii="黑体" w:hAnsi="黑体" w:eastAsia="黑体"/>
              <w:color w:val="auto"/>
              <w:sz w:val="28"/>
              <w:szCs w:val="28"/>
            </w:rPr>
            <w:t>年毕业生就业质量报告</w:t>
          </w:r>
          <w:r>
            <w:rPr>
              <w:color w:val="auto"/>
              <w:sz w:val="28"/>
              <w:szCs w:val="28"/>
            </w:rPr>
            <w:tab/>
          </w:r>
          <w:r>
            <w:rPr>
              <w:color w:val="auto"/>
              <w:sz w:val="28"/>
              <w:szCs w:val="28"/>
            </w:rPr>
            <w:fldChar w:fldCharType="begin"/>
          </w:r>
          <w:r>
            <w:rPr>
              <w:color w:val="auto"/>
              <w:sz w:val="28"/>
              <w:szCs w:val="28"/>
            </w:rPr>
            <w:instrText xml:space="preserve"> PAGEREF _Toc3616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_Toc14472 </w:instrText>
          </w:r>
          <w:r>
            <w:rPr>
              <w:color w:val="auto"/>
              <w:sz w:val="28"/>
              <w:szCs w:val="28"/>
            </w:rPr>
            <w:fldChar w:fldCharType="separate"/>
          </w:r>
          <w:r>
            <w:rPr>
              <w:rFonts w:hint="eastAsia" w:ascii="黑体" w:hAnsi="黑体" w:eastAsia="黑体" w:cs="黑体"/>
              <w:bCs/>
              <w:color w:val="auto"/>
              <w:kern w:val="0"/>
              <w:sz w:val="28"/>
              <w:szCs w:val="28"/>
            </w:rPr>
            <w:t>前  言</w:t>
          </w:r>
          <w:r>
            <w:rPr>
              <w:color w:val="auto"/>
              <w:sz w:val="28"/>
              <w:szCs w:val="28"/>
            </w:rPr>
            <w:tab/>
          </w:r>
          <w:r>
            <w:rPr>
              <w:color w:val="auto"/>
              <w:sz w:val="28"/>
              <w:szCs w:val="28"/>
            </w:rPr>
            <w:fldChar w:fldCharType="begin"/>
          </w:r>
          <w:r>
            <w:rPr>
              <w:color w:val="auto"/>
              <w:sz w:val="28"/>
              <w:szCs w:val="28"/>
            </w:rPr>
            <w:instrText xml:space="preserve"> PAGEREF _Toc14472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_Toc31751 </w:instrText>
          </w:r>
          <w:r>
            <w:rPr>
              <w:color w:val="auto"/>
              <w:sz w:val="28"/>
              <w:szCs w:val="28"/>
            </w:rPr>
            <w:fldChar w:fldCharType="separate"/>
          </w:r>
          <w:r>
            <w:rPr>
              <w:rFonts w:hint="eastAsia" w:ascii="黑体" w:hAnsi="黑体" w:eastAsia="黑体"/>
              <w:color w:val="auto"/>
              <w:kern w:val="0"/>
              <w:sz w:val="28"/>
              <w:szCs w:val="28"/>
            </w:rPr>
            <w:t>第一部分  毕业生基本情况</w:t>
          </w:r>
          <w:r>
            <w:rPr>
              <w:color w:val="auto"/>
              <w:sz w:val="28"/>
              <w:szCs w:val="28"/>
            </w:rPr>
            <w:tab/>
          </w:r>
          <w:r>
            <w:rPr>
              <w:color w:val="auto"/>
              <w:sz w:val="28"/>
              <w:szCs w:val="28"/>
            </w:rPr>
            <w:fldChar w:fldCharType="begin"/>
          </w:r>
          <w:r>
            <w:rPr>
              <w:color w:val="auto"/>
              <w:sz w:val="28"/>
              <w:szCs w:val="28"/>
            </w:rPr>
            <w:instrText xml:space="preserve"> PAGEREF _Toc31751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_Toc22103 </w:instrText>
          </w:r>
          <w:r>
            <w:rPr>
              <w:color w:val="auto"/>
              <w:sz w:val="28"/>
              <w:szCs w:val="28"/>
            </w:rPr>
            <w:fldChar w:fldCharType="separate"/>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毕业生总体规模</w:t>
          </w:r>
          <w:r>
            <w:rPr>
              <w:color w:val="auto"/>
              <w:sz w:val="28"/>
              <w:szCs w:val="28"/>
            </w:rPr>
            <w:tab/>
          </w:r>
          <w:r>
            <w:rPr>
              <w:color w:val="auto"/>
              <w:sz w:val="28"/>
              <w:szCs w:val="28"/>
            </w:rPr>
            <w:fldChar w:fldCharType="begin"/>
          </w:r>
          <w:r>
            <w:rPr>
              <w:color w:val="auto"/>
              <w:sz w:val="28"/>
              <w:szCs w:val="28"/>
            </w:rPr>
            <w:instrText xml:space="preserve"> PAGEREF _Toc22103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pPr>
            <w:pStyle w:val="15"/>
            <w:tabs>
              <w:tab w:val="right" w:leader="dot" w:pos="8306"/>
            </w:tabs>
            <w:rPr>
              <w:rFonts w:hint="eastAsia" w:eastAsia="宋体"/>
              <w:color w:val="auto"/>
              <w:sz w:val="28"/>
              <w:szCs w:val="28"/>
              <w:lang w:val="en-US" w:eastAsia="zh-CN"/>
            </w:rPr>
          </w:pPr>
          <w:r>
            <w:rPr>
              <w:rFonts w:hint="eastAsia" w:ascii="仿宋_GB2312" w:hAnsi="仿宋_GB2312" w:eastAsia="仿宋_GB2312" w:cs="仿宋_GB2312"/>
              <w:color w:val="auto"/>
              <w:sz w:val="28"/>
              <w:szCs w:val="28"/>
              <w:lang w:val="en-US" w:eastAsia="zh-CN"/>
            </w:rPr>
            <w:t>1.2毕业生结构</w:t>
          </w:r>
          <w:r>
            <w:rPr>
              <w:color w:val="auto"/>
              <w:sz w:val="28"/>
              <w:szCs w:val="28"/>
            </w:rPr>
            <w:tab/>
          </w:r>
          <w:r>
            <w:rPr>
              <w:rFonts w:hint="eastAsia"/>
              <w:color w:val="auto"/>
              <w:sz w:val="28"/>
              <w:szCs w:val="28"/>
              <w:lang w:val="en-US" w:eastAsia="zh-CN"/>
            </w:rPr>
            <w:t>3</w:t>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_Toc21041 </w:instrText>
          </w:r>
          <w:r>
            <w:rPr>
              <w:color w:val="auto"/>
              <w:sz w:val="28"/>
              <w:szCs w:val="28"/>
            </w:rPr>
            <w:fldChar w:fldCharType="separate"/>
          </w: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1毕业生性别比例</w:t>
          </w:r>
          <w:r>
            <w:rPr>
              <w:color w:val="auto"/>
              <w:sz w:val="28"/>
              <w:szCs w:val="28"/>
            </w:rPr>
            <w:tab/>
          </w:r>
          <w:r>
            <w:rPr>
              <w:color w:val="auto"/>
              <w:sz w:val="28"/>
              <w:szCs w:val="28"/>
            </w:rPr>
            <w:fldChar w:fldCharType="begin"/>
          </w:r>
          <w:r>
            <w:rPr>
              <w:color w:val="auto"/>
              <w:sz w:val="28"/>
              <w:szCs w:val="28"/>
            </w:rPr>
            <w:instrText xml:space="preserve"> PAGEREF _Toc21041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_Toc4788 </w:instrText>
          </w:r>
          <w:r>
            <w:rPr>
              <w:color w:val="auto"/>
              <w:sz w:val="28"/>
              <w:szCs w:val="28"/>
            </w:rPr>
            <w:fldChar w:fldCharType="separate"/>
          </w:r>
          <w:r>
            <w:rPr>
              <w:rFonts w:hint="eastAsia" w:ascii="仿宋_GB2312" w:eastAsia="仿宋_GB2312"/>
              <w:color w:val="auto"/>
              <w:sz w:val="28"/>
              <w:szCs w:val="28"/>
            </w:rPr>
            <w:t>1.</w:t>
          </w:r>
          <w:r>
            <w:rPr>
              <w:rFonts w:hint="eastAsia" w:ascii="仿宋_GB2312" w:eastAsia="仿宋_GB2312"/>
              <w:color w:val="auto"/>
              <w:sz w:val="28"/>
              <w:szCs w:val="28"/>
              <w:lang w:val="en-US" w:eastAsia="zh-CN"/>
            </w:rPr>
            <w:t>2.2</w:t>
          </w:r>
          <w:r>
            <w:rPr>
              <w:rFonts w:hint="eastAsia" w:ascii="仿宋_GB2312" w:eastAsia="仿宋_GB2312"/>
              <w:color w:val="auto"/>
              <w:sz w:val="28"/>
              <w:szCs w:val="28"/>
            </w:rPr>
            <w:t>毕业生民族分布</w:t>
          </w:r>
          <w:r>
            <w:rPr>
              <w:color w:val="auto"/>
              <w:sz w:val="28"/>
              <w:szCs w:val="28"/>
            </w:rPr>
            <w:tab/>
          </w:r>
          <w:r>
            <w:rPr>
              <w:color w:val="auto"/>
              <w:sz w:val="28"/>
              <w:szCs w:val="28"/>
            </w:rPr>
            <w:fldChar w:fldCharType="begin"/>
          </w:r>
          <w:r>
            <w:rPr>
              <w:color w:val="auto"/>
              <w:sz w:val="28"/>
              <w:szCs w:val="28"/>
            </w:rPr>
            <w:instrText xml:space="preserve"> PAGEREF _Toc4788 </w:instrText>
          </w:r>
          <w:r>
            <w:rPr>
              <w:color w:val="auto"/>
              <w:sz w:val="28"/>
              <w:szCs w:val="28"/>
            </w:rPr>
            <w:fldChar w:fldCharType="separate"/>
          </w:r>
          <w:r>
            <w:rPr>
              <w:color w:val="auto"/>
              <w:sz w:val="28"/>
              <w:szCs w:val="28"/>
            </w:rPr>
            <w:t>4</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_Toc30633 </w:instrText>
          </w:r>
          <w:r>
            <w:rPr>
              <w:color w:val="auto"/>
              <w:sz w:val="28"/>
              <w:szCs w:val="28"/>
            </w:rPr>
            <w:fldChar w:fldCharType="separate"/>
          </w:r>
          <w:r>
            <w:rPr>
              <w:rFonts w:hint="eastAsia" w:ascii="仿宋_GB2312" w:eastAsia="仿宋_GB2312"/>
              <w:color w:val="auto"/>
              <w:sz w:val="28"/>
              <w:szCs w:val="28"/>
            </w:rPr>
            <w:t>1.</w:t>
          </w:r>
          <w:r>
            <w:rPr>
              <w:rFonts w:hint="eastAsia" w:ascii="仿宋_GB2312" w:eastAsia="仿宋_GB2312"/>
              <w:color w:val="auto"/>
              <w:sz w:val="28"/>
              <w:szCs w:val="28"/>
              <w:lang w:val="en-US" w:eastAsia="zh-CN"/>
            </w:rPr>
            <w:t>2.3</w:t>
          </w:r>
          <w:r>
            <w:rPr>
              <w:rFonts w:hint="eastAsia" w:ascii="仿宋_GB2312" w:eastAsia="仿宋_GB2312"/>
              <w:color w:val="auto"/>
              <w:sz w:val="28"/>
              <w:szCs w:val="28"/>
            </w:rPr>
            <w:t>毕业生生源地区分布</w:t>
          </w:r>
          <w:r>
            <w:rPr>
              <w:color w:val="auto"/>
              <w:sz w:val="28"/>
              <w:szCs w:val="28"/>
            </w:rPr>
            <w:tab/>
          </w:r>
          <w:r>
            <w:rPr>
              <w:color w:val="auto"/>
              <w:sz w:val="28"/>
              <w:szCs w:val="28"/>
            </w:rPr>
            <w:fldChar w:fldCharType="begin"/>
          </w:r>
          <w:r>
            <w:rPr>
              <w:color w:val="auto"/>
              <w:sz w:val="28"/>
              <w:szCs w:val="28"/>
            </w:rPr>
            <w:instrText xml:space="preserve"> PAGEREF _Toc30633 </w:instrText>
          </w:r>
          <w:r>
            <w:rPr>
              <w:color w:val="auto"/>
              <w:sz w:val="28"/>
              <w:szCs w:val="28"/>
            </w:rPr>
            <w:fldChar w:fldCharType="separate"/>
          </w:r>
          <w:r>
            <w:rPr>
              <w:color w:val="auto"/>
              <w:sz w:val="28"/>
              <w:szCs w:val="28"/>
            </w:rPr>
            <w:t>5</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_Toc19777 </w:instrText>
          </w:r>
          <w:r>
            <w:rPr>
              <w:color w:val="auto"/>
              <w:sz w:val="28"/>
              <w:szCs w:val="28"/>
            </w:rPr>
            <w:fldChar w:fldCharType="separate"/>
          </w:r>
          <w:r>
            <w:rPr>
              <w:rFonts w:hint="eastAsia" w:ascii="仿宋_GB2312" w:eastAsia="仿宋_GB2312"/>
              <w:color w:val="auto"/>
              <w:sz w:val="28"/>
              <w:szCs w:val="28"/>
            </w:rPr>
            <w:t>1.</w:t>
          </w:r>
          <w:r>
            <w:rPr>
              <w:rFonts w:hint="eastAsia" w:ascii="仿宋_GB2312" w:eastAsia="仿宋_GB2312"/>
              <w:color w:val="auto"/>
              <w:sz w:val="28"/>
              <w:szCs w:val="28"/>
              <w:lang w:val="en-US" w:eastAsia="zh-CN"/>
            </w:rPr>
            <w:t>2.4</w:t>
          </w:r>
          <w:r>
            <w:rPr>
              <w:rFonts w:hint="eastAsia" w:ascii="仿宋_GB2312" w:eastAsia="仿宋_GB2312"/>
              <w:color w:val="auto"/>
              <w:sz w:val="28"/>
              <w:szCs w:val="28"/>
            </w:rPr>
            <w:t>毕业生学科专业结构</w:t>
          </w:r>
          <w:r>
            <w:rPr>
              <w:color w:val="auto"/>
              <w:sz w:val="28"/>
              <w:szCs w:val="28"/>
            </w:rPr>
            <w:tab/>
          </w:r>
          <w:r>
            <w:rPr>
              <w:color w:val="auto"/>
              <w:sz w:val="28"/>
              <w:szCs w:val="28"/>
            </w:rPr>
            <w:fldChar w:fldCharType="begin"/>
          </w:r>
          <w:r>
            <w:rPr>
              <w:color w:val="auto"/>
              <w:sz w:val="28"/>
              <w:szCs w:val="28"/>
            </w:rPr>
            <w:instrText xml:space="preserve"> PAGEREF _Toc19777 </w:instrText>
          </w:r>
          <w:r>
            <w:rPr>
              <w:color w:val="auto"/>
              <w:sz w:val="28"/>
              <w:szCs w:val="28"/>
            </w:rPr>
            <w:fldChar w:fldCharType="separate"/>
          </w:r>
          <w:r>
            <w:rPr>
              <w:color w:val="auto"/>
              <w:sz w:val="28"/>
              <w:szCs w:val="28"/>
            </w:rPr>
            <w:t>5</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_Toc5951 </w:instrText>
          </w:r>
          <w:r>
            <w:rPr>
              <w:color w:val="auto"/>
              <w:sz w:val="28"/>
              <w:szCs w:val="28"/>
            </w:rPr>
            <w:fldChar w:fldCharType="separate"/>
          </w:r>
          <w:r>
            <w:rPr>
              <w:rFonts w:hint="eastAsia" w:ascii="黑体" w:hAnsi="黑体" w:eastAsia="黑体"/>
              <w:color w:val="auto"/>
              <w:kern w:val="0"/>
              <w:sz w:val="28"/>
              <w:szCs w:val="28"/>
            </w:rPr>
            <w:t>第二部分  毕业生就业状况</w:t>
          </w:r>
          <w:r>
            <w:rPr>
              <w:color w:val="auto"/>
              <w:sz w:val="28"/>
              <w:szCs w:val="28"/>
            </w:rPr>
            <w:tab/>
          </w:r>
          <w:r>
            <w:rPr>
              <w:color w:val="auto"/>
              <w:sz w:val="28"/>
              <w:szCs w:val="28"/>
            </w:rPr>
            <w:fldChar w:fldCharType="begin"/>
          </w:r>
          <w:r>
            <w:rPr>
              <w:color w:val="auto"/>
              <w:sz w:val="28"/>
              <w:szCs w:val="28"/>
            </w:rPr>
            <w:instrText xml:space="preserve"> PAGEREF _Toc5951 </w:instrText>
          </w:r>
          <w:r>
            <w:rPr>
              <w:color w:val="auto"/>
              <w:sz w:val="28"/>
              <w:szCs w:val="28"/>
            </w:rPr>
            <w:fldChar w:fldCharType="separate"/>
          </w:r>
          <w:r>
            <w:rPr>
              <w:color w:val="auto"/>
              <w:sz w:val="28"/>
              <w:szCs w:val="28"/>
            </w:rPr>
            <w:t>8</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_Toc4192 </w:instrText>
          </w:r>
          <w:r>
            <w:rPr>
              <w:color w:val="auto"/>
              <w:sz w:val="28"/>
              <w:szCs w:val="28"/>
            </w:rPr>
            <w:fldChar w:fldCharType="separate"/>
          </w:r>
          <w:r>
            <w:rPr>
              <w:rFonts w:hint="eastAsia" w:ascii="仿宋_GB2312" w:hAnsi="仿宋_GB2312" w:eastAsia="仿宋_GB2312" w:cs="仿宋_GB2312"/>
              <w:color w:val="auto"/>
              <w:sz w:val="28"/>
              <w:szCs w:val="28"/>
            </w:rPr>
            <w:t>2.1</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eastAsia="zh-CN"/>
            </w:rPr>
            <w:t>毕业生</w:t>
          </w:r>
          <w:r>
            <w:rPr>
              <w:rFonts w:hint="eastAsia" w:ascii="仿宋_GB2312" w:hAnsi="仿宋_GB2312" w:eastAsia="仿宋_GB2312" w:cs="仿宋_GB2312"/>
              <w:color w:val="auto"/>
              <w:sz w:val="28"/>
              <w:szCs w:val="28"/>
            </w:rPr>
            <w:t>整体</w:t>
          </w:r>
          <w:r>
            <w:rPr>
              <w:rFonts w:hint="eastAsia" w:ascii="仿宋_GB2312" w:hAnsi="仿宋_GB2312" w:eastAsia="仿宋_GB2312" w:cs="仿宋_GB2312"/>
              <w:color w:val="auto"/>
              <w:sz w:val="28"/>
              <w:szCs w:val="28"/>
              <w:lang w:eastAsia="zh-CN"/>
            </w:rPr>
            <w:t>去向落实</w:t>
          </w:r>
          <w:r>
            <w:rPr>
              <w:rFonts w:hint="eastAsia" w:ascii="仿宋_GB2312" w:hAnsi="仿宋_GB2312" w:eastAsia="仿宋_GB2312" w:cs="仿宋_GB2312"/>
              <w:color w:val="auto"/>
              <w:sz w:val="28"/>
              <w:szCs w:val="28"/>
            </w:rPr>
            <w:t>率</w:t>
          </w:r>
          <w:r>
            <w:rPr>
              <w:color w:val="auto"/>
              <w:sz w:val="28"/>
              <w:szCs w:val="28"/>
            </w:rPr>
            <w:tab/>
          </w:r>
          <w:r>
            <w:rPr>
              <w:color w:val="auto"/>
              <w:sz w:val="28"/>
              <w:szCs w:val="28"/>
            </w:rPr>
            <w:fldChar w:fldCharType="begin"/>
          </w:r>
          <w:r>
            <w:rPr>
              <w:color w:val="auto"/>
              <w:sz w:val="28"/>
              <w:szCs w:val="28"/>
            </w:rPr>
            <w:instrText xml:space="preserve"> PAGEREF _Toc4192 </w:instrText>
          </w:r>
          <w:r>
            <w:rPr>
              <w:color w:val="auto"/>
              <w:sz w:val="28"/>
              <w:szCs w:val="28"/>
            </w:rPr>
            <w:fldChar w:fldCharType="separate"/>
          </w:r>
          <w:r>
            <w:rPr>
              <w:color w:val="auto"/>
              <w:sz w:val="28"/>
              <w:szCs w:val="28"/>
            </w:rPr>
            <w:t>8</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_Toc14685 </w:instrText>
          </w:r>
          <w:r>
            <w:rPr>
              <w:color w:val="auto"/>
              <w:sz w:val="28"/>
              <w:szCs w:val="28"/>
            </w:rPr>
            <w:fldChar w:fldCharType="separate"/>
          </w:r>
          <w:r>
            <w:rPr>
              <w:rFonts w:hint="eastAsia" w:ascii="仿宋_GB2312" w:hAnsi="仿宋_GB2312" w:eastAsia="仿宋_GB2312" w:cs="仿宋_GB2312"/>
              <w:color w:val="auto"/>
              <w:sz w:val="28"/>
              <w:szCs w:val="28"/>
            </w:rPr>
            <w:t>2.2</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毕业去向</w:t>
          </w:r>
          <w:r>
            <w:rPr>
              <w:color w:val="auto"/>
              <w:sz w:val="28"/>
              <w:szCs w:val="28"/>
            </w:rPr>
            <w:tab/>
          </w:r>
          <w:r>
            <w:rPr>
              <w:color w:val="auto"/>
              <w:sz w:val="28"/>
              <w:szCs w:val="28"/>
            </w:rPr>
            <w:fldChar w:fldCharType="begin"/>
          </w:r>
          <w:r>
            <w:rPr>
              <w:color w:val="auto"/>
              <w:sz w:val="28"/>
              <w:szCs w:val="28"/>
            </w:rPr>
            <w:instrText xml:space="preserve"> PAGEREF _Toc14685 </w:instrText>
          </w:r>
          <w:r>
            <w:rPr>
              <w:color w:val="auto"/>
              <w:sz w:val="28"/>
              <w:szCs w:val="28"/>
            </w:rPr>
            <w:fldChar w:fldCharType="separate"/>
          </w:r>
          <w:r>
            <w:rPr>
              <w:color w:val="auto"/>
              <w:sz w:val="28"/>
              <w:szCs w:val="28"/>
            </w:rPr>
            <w:t>9</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_Toc29752 </w:instrText>
          </w:r>
          <w:r>
            <w:rPr>
              <w:color w:val="auto"/>
              <w:sz w:val="28"/>
              <w:szCs w:val="28"/>
            </w:rPr>
            <w:fldChar w:fldCharType="separate"/>
          </w:r>
          <w:r>
            <w:rPr>
              <w:rFonts w:hint="eastAsia" w:ascii="仿宋_GB2312" w:hAnsi="Calibri" w:eastAsia="仿宋_GB2312" w:cs="Times New Roman"/>
              <w:bCs/>
              <w:color w:val="auto"/>
              <w:kern w:val="2"/>
              <w:sz w:val="28"/>
              <w:szCs w:val="28"/>
              <w:lang w:val="en-US" w:eastAsia="zh-CN" w:bidi="ar-SA"/>
            </w:rPr>
            <w:t>2.2.1</w:t>
          </w:r>
          <w:r>
            <w:rPr>
              <w:rFonts w:hint="eastAsia" w:ascii="仿宋_GB2312" w:eastAsia="仿宋_GB2312" w:cs="Times New Roman"/>
              <w:bCs/>
              <w:color w:val="auto"/>
              <w:kern w:val="2"/>
              <w:sz w:val="28"/>
              <w:szCs w:val="28"/>
              <w:lang w:val="en-US" w:eastAsia="zh-CN" w:bidi="ar-SA"/>
            </w:rPr>
            <w:t xml:space="preserve"> </w:t>
          </w:r>
          <w:r>
            <w:rPr>
              <w:rFonts w:hint="eastAsia" w:ascii="仿宋_GB2312" w:hAnsi="Calibri" w:eastAsia="仿宋_GB2312" w:cs="Times New Roman"/>
              <w:bCs/>
              <w:color w:val="auto"/>
              <w:kern w:val="2"/>
              <w:sz w:val="28"/>
              <w:szCs w:val="28"/>
              <w:lang w:val="en-US" w:eastAsia="zh-CN" w:bidi="ar-SA"/>
            </w:rPr>
            <w:t>各二级学院毕业生去向落实情况</w:t>
          </w:r>
          <w:r>
            <w:rPr>
              <w:color w:val="auto"/>
              <w:sz w:val="28"/>
              <w:szCs w:val="28"/>
            </w:rPr>
            <w:tab/>
          </w:r>
          <w:r>
            <w:rPr>
              <w:color w:val="auto"/>
              <w:sz w:val="28"/>
              <w:szCs w:val="28"/>
            </w:rPr>
            <w:fldChar w:fldCharType="begin"/>
          </w:r>
          <w:r>
            <w:rPr>
              <w:color w:val="auto"/>
              <w:sz w:val="28"/>
              <w:szCs w:val="28"/>
            </w:rPr>
            <w:instrText xml:space="preserve"> PAGEREF _Toc29752 </w:instrText>
          </w:r>
          <w:r>
            <w:rPr>
              <w:color w:val="auto"/>
              <w:sz w:val="28"/>
              <w:szCs w:val="28"/>
            </w:rPr>
            <w:fldChar w:fldCharType="separate"/>
          </w:r>
          <w:r>
            <w:rPr>
              <w:color w:val="auto"/>
              <w:sz w:val="28"/>
              <w:szCs w:val="28"/>
            </w:rPr>
            <w:t>9</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_Toc2406 </w:instrText>
          </w:r>
          <w:r>
            <w:rPr>
              <w:color w:val="auto"/>
              <w:sz w:val="28"/>
              <w:szCs w:val="28"/>
            </w:rPr>
            <w:fldChar w:fldCharType="separate"/>
          </w:r>
          <w:r>
            <w:rPr>
              <w:rFonts w:hint="eastAsia" w:ascii="仿宋_GB2312" w:eastAsia="仿宋_GB2312"/>
              <w:color w:val="auto"/>
              <w:sz w:val="28"/>
              <w:szCs w:val="28"/>
            </w:rPr>
            <w:t>2.2.</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 xml:space="preserve"> 各学科专业毕业生</w:t>
          </w:r>
          <w:r>
            <w:rPr>
              <w:rFonts w:hint="eastAsia" w:ascii="仿宋_GB2312" w:eastAsia="仿宋_GB2312"/>
              <w:color w:val="auto"/>
              <w:sz w:val="28"/>
              <w:szCs w:val="28"/>
              <w:lang w:eastAsia="zh-CN"/>
            </w:rPr>
            <w:t>去向落实情况</w:t>
          </w:r>
          <w:r>
            <w:rPr>
              <w:color w:val="auto"/>
              <w:sz w:val="28"/>
              <w:szCs w:val="28"/>
            </w:rPr>
            <w:tab/>
          </w:r>
          <w:r>
            <w:rPr>
              <w:color w:val="auto"/>
              <w:sz w:val="28"/>
              <w:szCs w:val="28"/>
            </w:rPr>
            <w:fldChar w:fldCharType="begin"/>
          </w:r>
          <w:r>
            <w:rPr>
              <w:color w:val="auto"/>
              <w:sz w:val="28"/>
              <w:szCs w:val="28"/>
            </w:rPr>
            <w:instrText xml:space="preserve"> PAGEREF _Toc2406 </w:instrText>
          </w:r>
          <w:r>
            <w:rPr>
              <w:color w:val="auto"/>
              <w:sz w:val="28"/>
              <w:szCs w:val="28"/>
            </w:rPr>
            <w:fldChar w:fldCharType="separate"/>
          </w:r>
          <w:r>
            <w:rPr>
              <w:color w:val="auto"/>
              <w:sz w:val="28"/>
              <w:szCs w:val="28"/>
            </w:rPr>
            <w:t>10</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_Toc781 </w:instrText>
          </w:r>
          <w:r>
            <w:rPr>
              <w:color w:val="auto"/>
              <w:sz w:val="28"/>
              <w:szCs w:val="28"/>
            </w:rPr>
            <w:fldChar w:fldCharType="separate"/>
          </w:r>
          <w:r>
            <w:rPr>
              <w:rFonts w:hint="eastAsia" w:ascii="仿宋_GB2312" w:eastAsia="仿宋_GB2312"/>
              <w:color w:val="auto"/>
              <w:sz w:val="28"/>
              <w:szCs w:val="28"/>
              <w:lang w:val="en-US" w:eastAsia="zh-CN"/>
            </w:rPr>
            <w:t>2.2.3 未就业情况分析</w:t>
          </w:r>
          <w:r>
            <w:rPr>
              <w:color w:val="auto"/>
              <w:sz w:val="28"/>
              <w:szCs w:val="28"/>
            </w:rPr>
            <w:tab/>
          </w:r>
          <w:r>
            <w:rPr>
              <w:color w:val="auto"/>
              <w:sz w:val="28"/>
              <w:szCs w:val="28"/>
            </w:rPr>
            <w:fldChar w:fldCharType="begin"/>
          </w:r>
          <w:r>
            <w:rPr>
              <w:color w:val="auto"/>
              <w:sz w:val="28"/>
              <w:szCs w:val="28"/>
            </w:rPr>
            <w:instrText xml:space="preserve"> PAGEREF _Toc781 </w:instrText>
          </w:r>
          <w:r>
            <w:rPr>
              <w:color w:val="auto"/>
              <w:sz w:val="28"/>
              <w:szCs w:val="28"/>
            </w:rPr>
            <w:fldChar w:fldCharType="separate"/>
          </w:r>
          <w:r>
            <w:rPr>
              <w:color w:val="auto"/>
              <w:sz w:val="28"/>
              <w:szCs w:val="28"/>
            </w:rPr>
            <w:t>11</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_Toc2871 </w:instrText>
          </w:r>
          <w:r>
            <w:rPr>
              <w:color w:val="auto"/>
              <w:sz w:val="28"/>
              <w:szCs w:val="28"/>
            </w:rPr>
            <w:fldChar w:fldCharType="separate"/>
          </w:r>
          <w:r>
            <w:rPr>
              <w:rFonts w:hint="eastAsia" w:ascii="仿宋_GB2312" w:hAnsi="仿宋_GB2312" w:eastAsia="仿宋_GB2312" w:cs="仿宋_GB2312"/>
              <w:color w:val="auto"/>
              <w:sz w:val="28"/>
              <w:szCs w:val="28"/>
            </w:rPr>
            <w:t>2.3</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毕业生就业结构</w:t>
          </w:r>
          <w:r>
            <w:rPr>
              <w:color w:val="auto"/>
              <w:sz w:val="28"/>
              <w:szCs w:val="28"/>
            </w:rPr>
            <w:tab/>
          </w:r>
          <w:r>
            <w:rPr>
              <w:color w:val="auto"/>
              <w:sz w:val="28"/>
              <w:szCs w:val="28"/>
            </w:rPr>
            <w:fldChar w:fldCharType="begin"/>
          </w:r>
          <w:r>
            <w:rPr>
              <w:color w:val="auto"/>
              <w:sz w:val="28"/>
              <w:szCs w:val="28"/>
            </w:rPr>
            <w:instrText xml:space="preserve"> PAGEREF _Toc2871 </w:instrText>
          </w:r>
          <w:r>
            <w:rPr>
              <w:color w:val="auto"/>
              <w:sz w:val="28"/>
              <w:szCs w:val="28"/>
            </w:rPr>
            <w:fldChar w:fldCharType="separate"/>
          </w:r>
          <w:r>
            <w:rPr>
              <w:color w:val="auto"/>
              <w:sz w:val="28"/>
              <w:szCs w:val="28"/>
            </w:rPr>
            <w:t>12</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_Toc29004 </w:instrText>
          </w:r>
          <w:r>
            <w:rPr>
              <w:color w:val="auto"/>
              <w:sz w:val="28"/>
              <w:szCs w:val="28"/>
            </w:rPr>
            <w:fldChar w:fldCharType="separate"/>
          </w:r>
          <w:r>
            <w:rPr>
              <w:rFonts w:hint="eastAsia" w:ascii="仿宋_GB2312" w:eastAsia="仿宋_GB2312"/>
              <w:color w:val="auto"/>
              <w:sz w:val="28"/>
              <w:szCs w:val="28"/>
            </w:rPr>
            <w:t>2.3.1 就业地域分布</w:t>
          </w:r>
          <w:r>
            <w:rPr>
              <w:color w:val="auto"/>
              <w:sz w:val="28"/>
              <w:szCs w:val="28"/>
            </w:rPr>
            <w:tab/>
          </w:r>
          <w:r>
            <w:rPr>
              <w:color w:val="auto"/>
              <w:sz w:val="28"/>
              <w:szCs w:val="28"/>
            </w:rPr>
            <w:fldChar w:fldCharType="begin"/>
          </w:r>
          <w:r>
            <w:rPr>
              <w:color w:val="auto"/>
              <w:sz w:val="28"/>
              <w:szCs w:val="28"/>
            </w:rPr>
            <w:instrText xml:space="preserve"> PAGEREF _Toc29004 </w:instrText>
          </w:r>
          <w:r>
            <w:rPr>
              <w:color w:val="auto"/>
              <w:sz w:val="28"/>
              <w:szCs w:val="28"/>
            </w:rPr>
            <w:fldChar w:fldCharType="separate"/>
          </w:r>
          <w:r>
            <w:rPr>
              <w:color w:val="auto"/>
              <w:sz w:val="28"/>
              <w:szCs w:val="28"/>
            </w:rPr>
            <w:t>12</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_Toc27008 </w:instrText>
          </w:r>
          <w:r>
            <w:rPr>
              <w:color w:val="auto"/>
              <w:sz w:val="28"/>
              <w:szCs w:val="28"/>
            </w:rPr>
            <w:fldChar w:fldCharType="separate"/>
          </w:r>
          <w:r>
            <w:rPr>
              <w:rFonts w:hint="eastAsia" w:ascii="仿宋_GB2312" w:eastAsia="仿宋_GB2312"/>
              <w:color w:val="auto"/>
              <w:sz w:val="28"/>
              <w:szCs w:val="28"/>
            </w:rPr>
            <w:t>2.3.2 单位行业流向</w:t>
          </w:r>
          <w:r>
            <w:rPr>
              <w:color w:val="auto"/>
              <w:sz w:val="28"/>
              <w:szCs w:val="28"/>
            </w:rPr>
            <w:tab/>
          </w:r>
          <w:r>
            <w:rPr>
              <w:color w:val="auto"/>
              <w:sz w:val="28"/>
              <w:szCs w:val="28"/>
            </w:rPr>
            <w:fldChar w:fldCharType="begin"/>
          </w:r>
          <w:r>
            <w:rPr>
              <w:color w:val="auto"/>
              <w:sz w:val="28"/>
              <w:szCs w:val="28"/>
            </w:rPr>
            <w:instrText xml:space="preserve"> PAGEREF _Toc27008 </w:instrText>
          </w:r>
          <w:r>
            <w:rPr>
              <w:color w:val="auto"/>
              <w:sz w:val="28"/>
              <w:szCs w:val="28"/>
            </w:rPr>
            <w:fldChar w:fldCharType="separate"/>
          </w:r>
          <w:r>
            <w:rPr>
              <w:color w:val="auto"/>
              <w:sz w:val="28"/>
              <w:szCs w:val="28"/>
            </w:rPr>
            <w:t>13</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_Toc20214 </w:instrText>
          </w:r>
          <w:r>
            <w:rPr>
              <w:color w:val="auto"/>
              <w:sz w:val="28"/>
              <w:szCs w:val="28"/>
            </w:rPr>
            <w:fldChar w:fldCharType="separate"/>
          </w:r>
          <w:r>
            <w:rPr>
              <w:rFonts w:hint="eastAsia" w:ascii="仿宋_GB2312" w:eastAsia="仿宋_GB2312"/>
              <w:color w:val="auto"/>
              <w:sz w:val="28"/>
              <w:szCs w:val="28"/>
            </w:rPr>
            <w:t>2.3.3 单位性质</w:t>
          </w:r>
          <w:r>
            <w:rPr>
              <w:color w:val="auto"/>
              <w:sz w:val="28"/>
              <w:szCs w:val="28"/>
            </w:rPr>
            <w:tab/>
          </w:r>
          <w:r>
            <w:rPr>
              <w:color w:val="auto"/>
              <w:sz w:val="28"/>
              <w:szCs w:val="28"/>
            </w:rPr>
            <w:fldChar w:fldCharType="begin"/>
          </w:r>
          <w:r>
            <w:rPr>
              <w:color w:val="auto"/>
              <w:sz w:val="28"/>
              <w:szCs w:val="28"/>
            </w:rPr>
            <w:instrText xml:space="preserve"> PAGEREF _Toc20214 </w:instrText>
          </w:r>
          <w:r>
            <w:rPr>
              <w:color w:val="auto"/>
              <w:sz w:val="28"/>
              <w:szCs w:val="28"/>
            </w:rPr>
            <w:fldChar w:fldCharType="separate"/>
          </w:r>
          <w:r>
            <w:rPr>
              <w:color w:val="auto"/>
              <w:sz w:val="28"/>
              <w:szCs w:val="28"/>
            </w:rPr>
            <w:t>15</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_Toc3086 </w:instrText>
          </w:r>
          <w:r>
            <w:rPr>
              <w:color w:val="auto"/>
              <w:sz w:val="28"/>
              <w:szCs w:val="28"/>
            </w:rPr>
            <w:fldChar w:fldCharType="separate"/>
          </w:r>
          <w:r>
            <w:rPr>
              <w:rFonts w:hint="eastAsia" w:ascii="仿宋_GB2312" w:eastAsia="仿宋_GB2312"/>
              <w:color w:val="auto"/>
              <w:sz w:val="28"/>
              <w:szCs w:val="28"/>
            </w:rPr>
            <w:t>2.3.4 升学分析</w:t>
          </w:r>
          <w:r>
            <w:rPr>
              <w:color w:val="auto"/>
              <w:sz w:val="28"/>
              <w:szCs w:val="28"/>
            </w:rPr>
            <w:tab/>
          </w:r>
          <w:r>
            <w:rPr>
              <w:color w:val="auto"/>
              <w:sz w:val="28"/>
              <w:szCs w:val="28"/>
            </w:rPr>
            <w:fldChar w:fldCharType="begin"/>
          </w:r>
          <w:r>
            <w:rPr>
              <w:color w:val="auto"/>
              <w:sz w:val="28"/>
              <w:szCs w:val="28"/>
            </w:rPr>
            <w:instrText xml:space="preserve"> PAGEREF _Toc3086 </w:instrText>
          </w:r>
          <w:r>
            <w:rPr>
              <w:color w:val="auto"/>
              <w:sz w:val="28"/>
              <w:szCs w:val="28"/>
            </w:rPr>
            <w:fldChar w:fldCharType="separate"/>
          </w:r>
          <w:r>
            <w:rPr>
              <w:color w:val="auto"/>
              <w:sz w:val="28"/>
              <w:szCs w:val="28"/>
            </w:rPr>
            <w:t>16</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_Toc17737 </w:instrText>
          </w:r>
          <w:r>
            <w:rPr>
              <w:color w:val="auto"/>
              <w:sz w:val="28"/>
              <w:szCs w:val="28"/>
            </w:rPr>
            <w:fldChar w:fldCharType="separate"/>
          </w:r>
          <w:r>
            <w:rPr>
              <w:rFonts w:hint="eastAsia" w:ascii="仿宋_GB2312" w:hAnsi="Calibri" w:eastAsia="仿宋_GB2312" w:cs="Times New Roman"/>
              <w:bCs/>
              <w:color w:val="auto"/>
              <w:kern w:val="2"/>
              <w:sz w:val="28"/>
              <w:szCs w:val="28"/>
              <w:lang w:val="en-US" w:eastAsia="zh-CN" w:bidi="ar-SA"/>
            </w:rPr>
            <w:t>2.3.5 国内外升学情况</w:t>
          </w:r>
          <w:r>
            <w:rPr>
              <w:color w:val="auto"/>
              <w:sz w:val="28"/>
              <w:szCs w:val="28"/>
            </w:rPr>
            <w:tab/>
          </w:r>
          <w:r>
            <w:rPr>
              <w:color w:val="auto"/>
              <w:sz w:val="28"/>
              <w:szCs w:val="28"/>
            </w:rPr>
            <w:fldChar w:fldCharType="begin"/>
          </w:r>
          <w:r>
            <w:rPr>
              <w:color w:val="auto"/>
              <w:sz w:val="28"/>
              <w:szCs w:val="28"/>
            </w:rPr>
            <w:instrText xml:space="preserve"> PAGEREF _Toc17737 </w:instrText>
          </w:r>
          <w:r>
            <w:rPr>
              <w:color w:val="auto"/>
              <w:sz w:val="28"/>
              <w:szCs w:val="28"/>
            </w:rPr>
            <w:fldChar w:fldCharType="separate"/>
          </w:r>
          <w:r>
            <w:rPr>
              <w:color w:val="auto"/>
              <w:sz w:val="28"/>
              <w:szCs w:val="28"/>
            </w:rPr>
            <w:t>16</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_Toc23871 </w:instrText>
          </w:r>
          <w:r>
            <w:rPr>
              <w:color w:val="auto"/>
              <w:sz w:val="28"/>
              <w:szCs w:val="28"/>
            </w:rPr>
            <w:fldChar w:fldCharType="separate"/>
          </w:r>
          <w:r>
            <w:rPr>
              <w:rFonts w:hint="eastAsia" w:ascii="仿宋_GB2312" w:eastAsia="仿宋_GB2312"/>
              <w:color w:val="auto"/>
              <w:sz w:val="28"/>
              <w:szCs w:val="28"/>
            </w:rPr>
            <w:t>2.3.6 重点流向院校</w:t>
          </w:r>
          <w:r>
            <w:rPr>
              <w:color w:val="auto"/>
              <w:sz w:val="28"/>
              <w:szCs w:val="28"/>
            </w:rPr>
            <w:tab/>
          </w:r>
          <w:r>
            <w:rPr>
              <w:color w:val="auto"/>
              <w:sz w:val="28"/>
              <w:szCs w:val="28"/>
            </w:rPr>
            <w:fldChar w:fldCharType="begin"/>
          </w:r>
          <w:r>
            <w:rPr>
              <w:color w:val="auto"/>
              <w:sz w:val="28"/>
              <w:szCs w:val="28"/>
            </w:rPr>
            <w:instrText xml:space="preserve"> PAGEREF _Toc23871 </w:instrText>
          </w:r>
          <w:r>
            <w:rPr>
              <w:color w:val="auto"/>
              <w:sz w:val="28"/>
              <w:szCs w:val="28"/>
            </w:rPr>
            <w:fldChar w:fldCharType="separate"/>
          </w:r>
          <w:r>
            <w:rPr>
              <w:color w:val="auto"/>
              <w:sz w:val="28"/>
              <w:szCs w:val="28"/>
            </w:rPr>
            <w:t>17</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_Toc19166 </w:instrText>
          </w:r>
          <w:r>
            <w:rPr>
              <w:color w:val="auto"/>
              <w:sz w:val="28"/>
              <w:szCs w:val="28"/>
            </w:rPr>
            <w:fldChar w:fldCharType="separate"/>
          </w:r>
          <w:r>
            <w:rPr>
              <w:rFonts w:hint="eastAsia" w:ascii="仿宋_GB2312" w:eastAsia="仿宋_GB2312"/>
              <w:color w:val="auto"/>
              <w:sz w:val="28"/>
              <w:szCs w:val="28"/>
            </w:rPr>
            <w:t>2.3.7 重点单位就业</w:t>
          </w:r>
          <w:r>
            <w:rPr>
              <w:color w:val="auto"/>
              <w:sz w:val="28"/>
              <w:szCs w:val="28"/>
            </w:rPr>
            <w:tab/>
          </w:r>
          <w:r>
            <w:rPr>
              <w:color w:val="auto"/>
              <w:sz w:val="28"/>
              <w:szCs w:val="28"/>
            </w:rPr>
            <w:fldChar w:fldCharType="begin"/>
          </w:r>
          <w:r>
            <w:rPr>
              <w:color w:val="auto"/>
              <w:sz w:val="28"/>
              <w:szCs w:val="28"/>
            </w:rPr>
            <w:instrText xml:space="preserve"> PAGEREF _Toc19166 </w:instrText>
          </w:r>
          <w:r>
            <w:rPr>
              <w:color w:val="auto"/>
              <w:sz w:val="28"/>
              <w:szCs w:val="28"/>
            </w:rPr>
            <w:fldChar w:fldCharType="separate"/>
          </w:r>
          <w:r>
            <w:rPr>
              <w:color w:val="auto"/>
              <w:sz w:val="28"/>
              <w:szCs w:val="28"/>
            </w:rPr>
            <w:t>19</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_Toc8241 </w:instrText>
          </w:r>
          <w:r>
            <w:rPr>
              <w:color w:val="auto"/>
              <w:sz w:val="28"/>
              <w:szCs w:val="28"/>
            </w:rPr>
            <w:fldChar w:fldCharType="separate"/>
          </w:r>
          <w:r>
            <w:rPr>
              <w:rFonts w:hint="eastAsia" w:ascii="黑体" w:hAnsi="黑体" w:eastAsia="黑体"/>
              <w:color w:val="auto"/>
              <w:kern w:val="0"/>
              <w:sz w:val="28"/>
              <w:szCs w:val="28"/>
            </w:rPr>
            <w:t>第三部分  就业相关分析</w:t>
          </w:r>
          <w:r>
            <w:rPr>
              <w:color w:val="auto"/>
              <w:sz w:val="28"/>
              <w:szCs w:val="28"/>
            </w:rPr>
            <w:tab/>
          </w:r>
          <w:r>
            <w:rPr>
              <w:color w:val="auto"/>
              <w:sz w:val="28"/>
              <w:szCs w:val="28"/>
            </w:rPr>
            <w:fldChar w:fldCharType="begin"/>
          </w:r>
          <w:r>
            <w:rPr>
              <w:color w:val="auto"/>
              <w:sz w:val="28"/>
              <w:szCs w:val="28"/>
            </w:rPr>
            <w:instrText xml:space="preserve"> PAGEREF _Toc8241 </w:instrText>
          </w:r>
          <w:r>
            <w:rPr>
              <w:color w:val="auto"/>
              <w:sz w:val="28"/>
              <w:szCs w:val="28"/>
            </w:rPr>
            <w:fldChar w:fldCharType="separate"/>
          </w:r>
          <w:r>
            <w:rPr>
              <w:color w:val="auto"/>
              <w:sz w:val="28"/>
              <w:szCs w:val="28"/>
            </w:rPr>
            <w:t>23</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_Toc18838 </w:instrText>
          </w:r>
          <w:r>
            <w:rPr>
              <w:color w:val="auto"/>
              <w:sz w:val="28"/>
              <w:szCs w:val="28"/>
            </w:rPr>
            <w:fldChar w:fldCharType="separate"/>
          </w:r>
          <w:r>
            <w:rPr>
              <w:rFonts w:hint="eastAsia" w:ascii="仿宋_GB2312" w:eastAsia="仿宋_GB2312"/>
              <w:color w:val="auto"/>
              <w:sz w:val="28"/>
              <w:szCs w:val="28"/>
            </w:rPr>
            <w:t>3.1.1</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就业单位与专业相关度</w:t>
          </w:r>
          <w:r>
            <w:rPr>
              <w:color w:val="auto"/>
              <w:sz w:val="28"/>
              <w:szCs w:val="28"/>
            </w:rPr>
            <w:tab/>
          </w:r>
          <w:r>
            <w:rPr>
              <w:color w:val="auto"/>
              <w:sz w:val="28"/>
              <w:szCs w:val="28"/>
            </w:rPr>
            <w:fldChar w:fldCharType="begin"/>
          </w:r>
          <w:r>
            <w:rPr>
              <w:color w:val="auto"/>
              <w:sz w:val="28"/>
              <w:szCs w:val="28"/>
            </w:rPr>
            <w:instrText xml:space="preserve"> PAGEREF _Toc18838 </w:instrText>
          </w:r>
          <w:r>
            <w:rPr>
              <w:color w:val="auto"/>
              <w:sz w:val="28"/>
              <w:szCs w:val="28"/>
            </w:rPr>
            <w:fldChar w:fldCharType="separate"/>
          </w:r>
          <w:r>
            <w:rPr>
              <w:color w:val="auto"/>
              <w:sz w:val="28"/>
              <w:szCs w:val="28"/>
            </w:rPr>
            <w:t>23</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_Toc1401 </w:instrText>
          </w:r>
          <w:r>
            <w:rPr>
              <w:color w:val="auto"/>
              <w:sz w:val="28"/>
              <w:szCs w:val="28"/>
            </w:rPr>
            <w:fldChar w:fldCharType="separate"/>
          </w:r>
          <w:r>
            <w:rPr>
              <w:rFonts w:hint="eastAsia" w:ascii="仿宋_GB2312" w:eastAsia="仿宋_GB2312"/>
              <w:color w:val="auto"/>
              <w:sz w:val="28"/>
              <w:szCs w:val="28"/>
            </w:rPr>
            <w:t>3.1.2 毕业生对当前就业状况满意度</w:t>
          </w:r>
          <w:r>
            <w:rPr>
              <w:color w:val="auto"/>
              <w:sz w:val="28"/>
              <w:szCs w:val="28"/>
            </w:rPr>
            <w:tab/>
          </w:r>
          <w:r>
            <w:rPr>
              <w:color w:val="auto"/>
              <w:sz w:val="28"/>
              <w:szCs w:val="28"/>
            </w:rPr>
            <w:fldChar w:fldCharType="begin"/>
          </w:r>
          <w:r>
            <w:rPr>
              <w:color w:val="auto"/>
              <w:sz w:val="28"/>
              <w:szCs w:val="28"/>
            </w:rPr>
            <w:instrText xml:space="preserve"> PAGEREF _Toc1401 </w:instrText>
          </w:r>
          <w:r>
            <w:rPr>
              <w:color w:val="auto"/>
              <w:sz w:val="28"/>
              <w:szCs w:val="28"/>
            </w:rPr>
            <w:fldChar w:fldCharType="separate"/>
          </w:r>
          <w:r>
            <w:rPr>
              <w:color w:val="auto"/>
              <w:sz w:val="28"/>
              <w:szCs w:val="28"/>
            </w:rPr>
            <w:t>23</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_Toc19723 </w:instrText>
          </w:r>
          <w:r>
            <w:rPr>
              <w:color w:val="auto"/>
              <w:sz w:val="28"/>
              <w:szCs w:val="28"/>
            </w:rPr>
            <w:fldChar w:fldCharType="separate"/>
          </w:r>
          <w:r>
            <w:rPr>
              <w:rFonts w:hint="eastAsia" w:ascii="仿宋_GB2312" w:eastAsia="仿宋_GB2312"/>
              <w:color w:val="auto"/>
              <w:sz w:val="28"/>
              <w:szCs w:val="28"/>
            </w:rPr>
            <w:t>3.1.3</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毕业生对就业</w:t>
          </w:r>
          <w:r>
            <w:rPr>
              <w:rFonts w:hint="eastAsia" w:ascii="仿宋_GB2312" w:eastAsia="仿宋_GB2312"/>
              <w:color w:val="auto"/>
              <w:sz w:val="28"/>
              <w:szCs w:val="28"/>
              <w:lang w:eastAsia="zh-CN"/>
            </w:rPr>
            <w:t>创业指导和服务</w:t>
          </w:r>
          <w:r>
            <w:rPr>
              <w:rFonts w:hint="eastAsia" w:ascii="仿宋_GB2312" w:eastAsia="仿宋_GB2312"/>
              <w:color w:val="auto"/>
              <w:sz w:val="28"/>
              <w:szCs w:val="28"/>
            </w:rPr>
            <w:t>的评价</w:t>
          </w:r>
          <w:r>
            <w:rPr>
              <w:color w:val="auto"/>
              <w:sz w:val="28"/>
              <w:szCs w:val="28"/>
            </w:rPr>
            <w:tab/>
          </w:r>
          <w:r>
            <w:rPr>
              <w:color w:val="auto"/>
              <w:sz w:val="28"/>
              <w:szCs w:val="28"/>
            </w:rPr>
            <w:fldChar w:fldCharType="begin"/>
          </w:r>
          <w:r>
            <w:rPr>
              <w:color w:val="auto"/>
              <w:sz w:val="28"/>
              <w:szCs w:val="28"/>
            </w:rPr>
            <w:instrText xml:space="preserve"> PAGEREF _Toc19723 </w:instrText>
          </w:r>
          <w:r>
            <w:rPr>
              <w:color w:val="auto"/>
              <w:sz w:val="28"/>
              <w:szCs w:val="28"/>
            </w:rPr>
            <w:fldChar w:fldCharType="separate"/>
          </w:r>
          <w:r>
            <w:rPr>
              <w:color w:val="auto"/>
              <w:sz w:val="28"/>
              <w:szCs w:val="28"/>
            </w:rPr>
            <w:t>24</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_Toc23126 </w:instrText>
          </w:r>
          <w:r>
            <w:rPr>
              <w:color w:val="auto"/>
              <w:sz w:val="28"/>
              <w:szCs w:val="28"/>
            </w:rPr>
            <w:fldChar w:fldCharType="separate"/>
          </w:r>
          <w:r>
            <w:rPr>
              <w:rFonts w:hint="eastAsia" w:ascii="仿宋_GB2312" w:eastAsia="仿宋_GB2312"/>
              <w:color w:val="auto"/>
              <w:sz w:val="28"/>
              <w:szCs w:val="28"/>
            </w:rPr>
            <w:t>3.1.4 用人单位评价</w:t>
          </w:r>
          <w:r>
            <w:rPr>
              <w:color w:val="auto"/>
              <w:sz w:val="28"/>
              <w:szCs w:val="28"/>
            </w:rPr>
            <w:tab/>
          </w:r>
          <w:r>
            <w:rPr>
              <w:color w:val="auto"/>
              <w:sz w:val="28"/>
              <w:szCs w:val="28"/>
            </w:rPr>
            <w:fldChar w:fldCharType="begin"/>
          </w:r>
          <w:r>
            <w:rPr>
              <w:color w:val="auto"/>
              <w:sz w:val="28"/>
              <w:szCs w:val="28"/>
            </w:rPr>
            <w:instrText xml:space="preserve"> PAGEREF _Toc23126 </w:instrText>
          </w:r>
          <w:r>
            <w:rPr>
              <w:color w:val="auto"/>
              <w:sz w:val="28"/>
              <w:szCs w:val="28"/>
            </w:rPr>
            <w:fldChar w:fldCharType="separate"/>
          </w:r>
          <w:r>
            <w:rPr>
              <w:color w:val="auto"/>
              <w:sz w:val="28"/>
              <w:szCs w:val="28"/>
            </w:rPr>
            <w:t>25</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_Toc17757 </w:instrText>
          </w:r>
          <w:r>
            <w:rPr>
              <w:color w:val="auto"/>
              <w:sz w:val="28"/>
              <w:szCs w:val="28"/>
            </w:rPr>
            <w:fldChar w:fldCharType="separate"/>
          </w:r>
          <w:r>
            <w:rPr>
              <w:rFonts w:hint="eastAsia" w:ascii="黑体" w:hAnsi="黑体" w:eastAsia="黑体"/>
              <w:color w:val="auto"/>
              <w:kern w:val="0"/>
              <w:sz w:val="28"/>
              <w:szCs w:val="28"/>
            </w:rPr>
            <w:t>第四部分 对教育教学的反馈</w:t>
          </w:r>
          <w:r>
            <w:rPr>
              <w:color w:val="auto"/>
              <w:sz w:val="28"/>
              <w:szCs w:val="28"/>
            </w:rPr>
            <w:tab/>
          </w:r>
          <w:r>
            <w:rPr>
              <w:color w:val="auto"/>
              <w:sz w:val="28"/>
              <w:szCs w:val="28"/>
            </w:rPr>
            <w:fldChar w:fldCharType="begin"/>
          </w:r>
          <w:r>
            <w:rPr>
              <w:color w:val="auto"/>
              <w:sz w:val="28"/>
              <w:szCs w:val="28"/>
            </w:rPr>
            <w:instrText xml:space="preserve"> PAGEREF _Toc17757 </w:instrText>
          </w:r>
          <w:r>
            <w:rPr>
              <w:color w:val="auto"/>
              <w:sz w:val="28"/>
              <w:szCs w:val="28"/>
            </w:rPr>
            <w:fldChar w:fldCharType="separate"/>
          </w:r>
          <w:r>
            <w:rPr>
              <w:color w:val="auto"/>
              <w:sz w:val="28"/>
              <w:szCs w:val="28"/>
            </w:rPr>
            <w:t>27</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_Toc20162 </w:instrText>
          </w:r>
          <w:r>
            <w:rPr>
              <w:color w:val="auto"/>
              <w:sz w:val="28"/>
              <w:szCs w:val="28"/>
            </w:rPr>
            <w:fldChar w:fldCharType="separate"/>
          </w:r>
          <w:r>
            <w:rPr>
              <w:rFonts w:hint="eastAsia" w:ascii="仿宋_GB2312" w:hAnsi="仿宋_GB2312" w:eastAsia="仿宋_GB2312" w:cs="仿宋_GB2312"/>
              <w:color w:val="auto"/>
              <w:sz w:val="28"/>
              <w:szCs w:val="28"/>
              <w:lang w:val="en-US" w:eastAsia="zh-CN"/>
            </w:rPr>
            <w:t>4.1 毕业生对学校人才培养和教育教学的反馈</w:t>
          </w:r>
          <w:r>
            <w:rPr>
              <w:color w:val="auto"/>
              <w:sz w:val="28"/>
              <w:szCs w:val="28"/>
            </w:rPr>
            <w:tab/>
          </w:r>
          <w:r>
            <w:rPr>
              <w:color w:val="auto"/>
              <w:sz w:val="28"/>
              <w:szCs w:val="28"/>
            </w:rPr>
            <w:fldChar w:fldCharType="begin"/>
          </w:r>
          <w:r>
            <w:rPr>
              <w:color w:val="auto"/>
              <w:sz w:val="28"/>
              <w:szCs w:val="28"/>
            </w:rPr>
            <w:instrText xml:space="preserve"> PAGEREF _Toc20162 </w:instrText>
          </w:r>
          <w:r>
            <w:rPr>
              <w:color w:val="auto"/>
              <w:sz w:val="28"/>
              <w:szCs w:val="28"/>
            </w:rPr>
            <w:fldChar w:fldCharType="separate"/>
          </w:r>
          <w:r>
            <w:rPr>
              <w:color w:val="auto"/>
              <w:sz w:val="28"/>
              <w:szCs w:val="28"/>
            </w:rPr>
            <w:t>27</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_Toc2451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4.1.1 学校人才培养整体满意度</w:t>
          </w:r>
          <w:r>
            <w:rPr>
              <w:color w:val="auto"/>
              <w:sz w:val="28"/>
              <w:szCs w:val="28"/>
            </w:rPr>
            <w:tab/>
          </w:r>
          <w:r>
            <w:rPr>
              <w:color w:val="auto"/>
              <w:sz w:val="28"/>
              <w:szCs w:val="28"/>
            </w:rPr>
            <w:fldChar w:fldCharType="begin"/>
          </w:r>
          <w:r>
            <w:rPr>
              <w:color w:val="auto"/>
              <w:sz w:val="28"/>
              <w:szCs w:val="28"/>
            </w:rPr>
            <w:instrText xml:space="preserve"> PAGEREF _Toc2451 </w:instrText>
          </w:r>
          <w:r>
            <w:rPr>
              <w:color w:val="auto"/>
              <w:sz w:val="28"/>
              <w:szCs w:val="28"/>
            </w:rPr>
            <w:fldChar w:fldCharType="separate"/>
          </w:r>
          <w:r>
            <w:rPr>
              <w:color w:val="auto"/>
              <w:sz w:val="28"/>
              <w:szCs w:val="28"/>
            </w:rPr>
            <w:t>27</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_Toc28883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4.1.2 学校课程安排合理性的评价</w:t>
          </w:r>
          <w:r>
            <w:rPr>
              <w:color w:val="auto"/>
              <w:sz w:val="28"/>
              <w:szCs w:val="28"/>
            </w:rPr>
            <w:tab/>
          </w:r>
          <w:r>
            <w:rPr>
              <w:color w:val="auto"/>
              <w:sz w:val="28"/>
              <w:szCs w:val="28"/>
            </w:rPr>
            <w:fldChar w:fldCharType="begin"/>
          </w:r>
          <w:r>
            <w:rPr>
              <w:color w:val="auto"/>
              <w:sz w:val="28"/>
              <w:szCs w:val="28"/>
            </w:rPr>
            <w:instrText xml:space="preserve"> PAGEREF _Toc28883 </w:instrText>
          </w:r>
          <w:r>
            <w:rPr>
              <w:color w:val="auto"/>
              <w:sz w:val="28"/>
              <w:szCs w:val="28"/>
            </w:rPr>
            <w:fldChar w:fldCharType="separate"/>
          </w:r>
          <w:r>
            <w:rPr>
              <w:color w:val="auto"/>
              <w:sz w:val="28"/>
              <w:szCs w:val="28"/>
            </w:rPr>
            <w:t>28</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_Toc24044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4.1.3 学校教师整体授课水平的评价</w:t>
          </w:r>
          <w:r>
            <w:rPr>
              <w:color w:val="auto"/>
              <w:sz w:val="28"/>
              <w:szCs w:val="28"/>
            </w:rPr>
            <w:tab/>
          </w:r>
          <w:r>
            <w:rPr>
              <w:color w:val="auto"/>
              <w:sz w:val="28"/>
              <w:szCs w:val="28"/>
            </w:rPr>
            <w:fldChar w:fldCharType="begin"/>
          </w:r>
          <w:r>
            <w:rPr>
              <w:color w:val="auto"/>
              <w:sz w:val="28"/>
              <w:szCs w:val="28"/>
            </w:rPr>
            <w:instrText xml:space="preserve"> PAGEREF _Toc24044 </w:instrText>
          </w:r>
          <w:r>
            <w:rPr>
              <w:color w:val="auto"/>
              <w:sz w:val="28"/>
              <w:szCs w:val="28"/>
            </w:rPr>
            <w:fldChar w:fldCharType="separate"/>
          </w:r>
          <w:r>
            <w:rPr>
              <w:color w:val="auto"/>
              <w:sz w:val="28"/>
              <w:szCs w:val="28"/>
            </w:rPr>
            <w:t>28</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_Toc12352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4.1.4 学校实践教学水平的评价</w:t>
          </w:r>
          <w:r>
            <w:rPr>
              <w:color w:val="auto"/>
              <w:sz w:val="28"/>
              <w:szCs w:val="28"/>
            </w:rPr>
            <w:tab/>
          </w:r>
          <w:r>
            <w:rPr>
              <w:color w:val="auto"/>
              <w:sz w:val="28"/>
              <w:szCs w:val="28"/>
            </w:rPr>
            <w:fldChar w:fldCharType="begin"/>
          </w:r>
          <w:r>
            <w:rPr>
              <w:color w:val="auto"/>
              <w:sz w:val="28"/>
              <w:szCs w:val="28"/>
            </w:rPr>
            <w:instrText xml:space="preserve"> PAGEREF _Toc12352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_Toc9686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4.1.5 学校就业创业工作的评价</w:t>
          </w:r>
          <w:r>
            <w:rPr>
              <w:color w:val="auto"/>
              <w:sz w:val="28"/>
              <w:szCs w:val="28"/>
            </w:rPr>
            <w:tab/>
          </w:r>
          <w:r>
            <w:rPr>
              <w:color w:val="auto"/>
              <w:sz w:val="28"/>
              <w:szCs w:val="28"/>
            </w:rPr>
            <w:fldChar w:fldCharType="begin"/>
          </w:r>
          <w:r>
            <w:rPr>
              <w:color w:val="auto"/>
              <w:sz w:val="28"/>
              <w:szCs w:val="28"/>
            </w:rPr>
            <w:instrText xml:space="preserve"> PAGEREF _Toc9686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_Toc4881 </w:instrText>
          </w:r>
          <w:r>
            <w:rPr>
              <w:color w:val="auto"/>
              <w:sz w:val="28"/>
              <w:szCs w:val="28"/>
            </w:rPr>
            <w:fldChar w:fldCharType="separate"/>
          </w:r>
          <w:r>
            <w:rPr>
              <w:rFonts w:hint="eastAsia" w:ascii="仿宋_GB2312" w:hAnsi="仿宋_GB2312" w:eastAsia="仿宋_GB2312" w:cs="仿宋_GB2312"/>
              <w:color w:val="auto"/>
              <w:sz w:val="28"/>
              <w:szCs w:val="28"/>
              <w:lang w:eastAsia="zh-CN"/>
            </w:rPr>
            <w:t>4.</w:t>
          </w:r>
          <w:r>
            <w:rPr>
              <w:rFonts w:hint="eastAsia" w:ascii="仿宋_GB2312" w:hAnsi="仿宋_GB2312" w:eastAsia="仿宋_GB2312" w:cs="仿宋_GB2312"/>
              <w:color w:val="auto"/>
              <w:sz w:val="28"/>
              <w:szCs w:val="28"/>
              <w:lang w:val="en-US" w:eastAsia="zh-CN"/>
            </w:rPr>
            <w:t xml:space="preserve">2 </w:t>
          </w:r>
          <w:r>
            <w:rPr>
              <w:rFonts w:hint="eastAsia" w:ascii="仿宋_GB2312" w:hAnsi="仿宋_GB2312" w:eastAsia="仿宋_GB2312" w:cs="仿宋_GB2312"/>
              <w:color w:val="auto"/>
              <w:sz w:val="28"/>
              <w:szCs w:val="28"/>
              <w:lang w:eastAsia="zh-CN"/>
            </w:rPr>
            <w:t>用人单位对人才培养质量的评价</w:t>
          </w:r>
          <w:r>
            <w:rPr>
              <w:color w:val="auto"/>
              <w:sz w:val="28"/>
              <w:szCs w:val="28"/>
            </w:rPr>
            <w:tab/>
          </w:r>
          <w:r>
            <w:rPr>
              <w:color w:val="auto"/>
              <w:sz w:val="28"/>
              <w:szCs w:val="28"/>
            </w:rPr>
            <w:fldChar w:fldCharType="begin"/>
          </w:r>
          <w:r>
            <w:rPr>
              <w:color w:val="auto"/>
              <w:sz w:val="28"/>
              <w:szCs w:val="28"/>
            </w:rPr>
            <w:instrText xml:space="preserve"> PAGEREF _Toc4881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_Toc26204 </w:instrText>
          </w:r>
          <w:r>
            <w:rPr>
              <w:color w:val="auto"/>
              <w:sz w:val="28"/>
              <w:szCs w:val="28"/>
            </w:rPr>
            <w:fldChar w:fldCharType="separate"/>
          </w:r>
          <w:r>
            <w:rPr>
              <w:rFonts w:hint="eastAsia" w:ascii="仿宋_GB2312" w:hAnsi="仿宋_GB2312" w:eastAsia="仿宋_GB2312" w:cs="仿宋_GB2312"/>
              <w:color w:val="auto"/>
              <w:sz w:val="28"/>
              <w:szCs w:val="28"/>
              <w:lang w:eastAsia="zh-CN"/>
            </w:rPr>
            <w:t>4.</w:t>
          </w:r>
          <w:r>
            <w:rPr>
              <w:rFonts w:hint="eastAsia" w:ascii="仿宋_GB2312" w:hAnsi="仿宋_GB2312" w:eastAsia="仿宋_GB2312" w:cs="仿宋_GB2312"/>
              <w:color w:val="auto"/>
              <w:sz w:val="28"/>
              <w:szCs w:val="28"/>
              <w:lang w:val="en-US" w:eastAsia="zh-CN"/>
            </w:rPr>
            <w:t>3 改进措施</w:t>
          </w:r>
          <w:r>
            <w:rPr>
              <w:color w:val="auto"/>
              <w:sz w:val="28"/>
              <w:szCs w:val="28"/>
            </w:rPr>
            <w:tab/>
          </w:r>
          <w:r>
            <w:rPr>
              <w:color w:val="auto"/>
              <w:sz w:val="28"/>
              <w:szCs w:val="28"/>
            </w:rPr>
            <w:fldChar w:fldCharType="begin"/>
          </w:r>
          <w:r>
            <w:rPr>
              <w:color w:val="auto"/>
              <w:sz w:val="28"/>
              <w:szCs w:val="28"/>
            </w:rPr>
            <w:instrText xml:space="preserve"> PAGEREF _Toc26204 </w:instrText>
          </w:r>
          <w:r>
            <w:rPr>
              <w:color w:val="auto"/>
              <w:sz w:val="28"/>
              <w:szCs w:val="28"/>
            </w:rPr>
            <w:fldChar w:fldCharType="separate"/>
          </w:r>
          <w:r>
            <w:rPr>
              <w:color w:val="auto"/>
              <w:sz w:val="28"/>
              <w:szCs w:val="28"/>
            </w:rPr>
            <w:t>30</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_Toc19643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4.3.1 进一步优化教育教学人才培养方案</w:t>
          </w:r>
          <w:r>
            <w:rPr>
              <w:color w:val="auto"/>
              <w:sz w:val="28"/>
              <w:szCs w:val="28"/>
            </w:rPr>
            <w:tab/>
          </w:r>
          <w:r>
            <w:rPr>
              <w:color w:val="auto"/>
              <w:sz w:val="28"/>
              <w:szCs w:val="28"/>
            </w:rPr>
            <w:fldChar w:fldCharType="begin"/>
          </w:r>
          <w:r>
            <w:rPr>
              <w:color w:val="auto"/>
              <w:sz w:val="28"/>
              <w:szCs w:val="28"/>
            </w:rPr>
            <w:instrText xml:space="preserve"> PAGEREF _Toc19643 </w:instrText>
          </w:r>
          <w:r>
            <w:rPr>
              <w:color w:val="auto"/>
              <w:sz w:val="28"/>
              <w:szCs w:val="28"/>
            </w:rPr>
            <w:fldChar w:fldCharType="separate"/>
          </w:r>
          <w:r>
            <w:rPr>
              <w:color w:val="auto"/>
              <w:sz w:val="28"/>
              <w:szCs w:val="28"/>
            </w:rPr>
            <w:t>30</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_Toc9548 </w:instrText>
          </w:r>
          <w:r>
            <w:rPr>
              <w:color w:val="auto"/>
              <w:sz w:val="28"/>
              <w:szCs w:val="28"/>
            </w:rPr>
            <w:fldChar w:fldCharType="separate"/>
          </w:r>
          <w:r>
            <w:rPr>
              <w:rFonts w:hint="eastAsia" w:ascii="仿宋_GB2312" w:hAnsi="仿宋_GB2312" w:eastAsia="仿宋_GB2312" w:cs="仿宋_GB2312"/>
              <w:bCs/>
              <w:color w:val="auto"/>
              <w:sz w:val="28"/>
              <w:szCs w:val="28"/>
              <w:lang w:val="en-US" w:eastAsia="zh-CN"/>
            </w:rPr>
            <w:t>4.3.2 着力加强就业创业指导服务内涵发展</w:t>
          </w:r>
          <w:r>
            <w:rPr>
              <w:color w:val="auto"/>
              <w:sz w:val="28"/>
              <w:szCs w:val="28"/>
            </w:rPr>
            <w:tab/>
          </w:r>
          <w:r>
            <w:rPr>
              <w:color w:val="auto"/>
              <w:sz w:val="28"/>
              <w:szCs w:val="28"/>
            </w:rPr>
            <w:fldChar w:fldCharType="begin"/>
          </w:r>
          <w:r>
            <w:rPr>
              <w:color w:val="auto"/>
              <w:sz w:val="28"/>
              <w:szCs w:val="28"/>
            </w:rPr>
            <w:instrText xml:space="preserve"> PAGEREF _Toc9548 </w:instrText>
          </w:r>
          <w:r>
            <w:rPr>
              <w:color w:val="auto"/>
              <w:sz w:val="28"/>
              <w:szCs w:val="28"/>
            </w:rPr>
            <w:fldChar w:fldCharType="separate"/>
          </w:r>
          <w:r>
            <w:rPr>
              <w:color w:val="auto"/>
              <w:sz w:val="28"/>
              <w:szCs w:val="28"/>
            </w:rPr>
            <w:t>31</w:t>
          </w:r>
          <w:r>
            <w:rPr>
              <w:color w:val="auto"/>
              <w:sz w:val="28"/>
              <w:szCs w:val="28"/>
            </w:rPr>
            <w:fldChar w:fldCharType="end"/>
          </w:r>
          <w:r>
            <w:rPr>
              <w:color w:val="auto"/>
              <w:sz w:val="28"/>
              <w:szCs w:val="28"/>
            </w:rPr>
            <w:fldChar w:fldCharType="end"/>
          </w:r>
        </w:p>
        <w:p>
          <w:pPr>
            <w:pStyle w:val="8"/>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_Toc13117 </w:instrText>
          </w:r>
          <w:r>
            <w:rPr>
              <w:color w:val="auto"/>
              <w:sz w:val="28"/>
              <w:szCs w:val="28"/>
            </w:rPr>
            <w:fldChar w:fldCharType="separate"/>
          </w:r>
          <w:r>
            <w:rPr>
              <w:rFonts w:hint="eastAsia" w:ascii="仿宋_GB2312" w:hAnsi="仿宋_GB2312" w:eastAsia="仿宋_GB2312" w:cs="仿宋_GB2312"/>
              <w:bCs w:val="0"/>
              <w:color w:val="auto"/>
              <w:sz w:val="28"/>
              <w:szCs w:val="28"/>
              <w:lang w:val="en-US" w:eastAsia="zh-CN"/>
            </w:rPr>
            <w:t>4.3.3 持续</w:t>
          </w:r>
          <w:r>
            <w:rPr>
              <w:rFonts w:hint="eastAsia" w:ascii="仿宋_GB2312" w:hAnsi="仿宋_GB2312" w:eastAsia="仿宋_GB2312" w:cs="仿宋_GB2312"/>
              <w:bCs w:val="0"/>
              <w:color w:val="auto"/>
              <w:sz w:val="28"/>
              <w:szCs w:val="28"/>
              <w:lang w:eastAsia="zh-CN"/>
            </w:rPr>
            <w:t>推进</w:t>
          </w:r>
          <w:r>
            <w:rPr>
              <w:rFonts w:hint="eastAsia" w:ascii="仿宋_GB2312" w:hAnsi="仿宋_GB2312" w:eastAsia="仿宋_GB2312" w:cs="仿宋_GB2312"/>
              <w:bCs w:val="0"/>
              <w:color w:val="auto"/>
              <w:sz w:val="28"/>
              <w:szCs w:val="28"/>
              <w:lang w:val="en-US" w:eastAsia="zh-CN"/>
            </w:rPr>
            <w:t>创新创业教育与专业教育深度融合</w:t>
          </w:r>
          <w:r>
            <w:rPr>
              <w:color w:val="auto"/>
              <w:sz w:val="28"/>
              <w:szCs w:val="28"/>
            </w:rPr>
            <w:tab/>
          </w:r>
          <w:r>
            <w:rPr>
              <w:color w:val="auto"/>
              <w:sz w:val="28"/>
              <w:szCs w:val="28"/>
            </w:rPr>
            <w:fldChar w:fldCharType="begin"/>
          </w:r>
          <w:r>
            <w:rPr>
              <w:color w:val="auto"/>
              <w:sz w:val="28"/>
              <w:szCs w:val="28"/>
            </w:rPr>
            <w:instrText xml:space="preserve"> PAGEREF _Toc13117 </w:instrText>
          </w:r>
          <w:r>
            <w:rPr>
              <w:color w:val="auto"/>
              <w:sz w:val="28"/>
              <w:szCs w:val="28"/>
            </w:rPr>
            <w:fldChar w:fldCharType="separate"/>
          </w:r>
          <w:r>
            <w:rPr>
              <w:color w:val="auto"/>
              <w:sz w:val="28"/>
              <w:szCs w:val="28"/>
            </w:rPr>
            <w:t>31</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_Toc21104 </w:instrText>
          </w:r>
          <w:r>
            <w:rPr>
              <w:color w:val="auto"/>
              <w:sz w:val="28"/>
              <w:szCs w:val="28"/>
            </w:rPr>
            <w:fldChar w:fldCharType="separate"/>
          </w:r>
          <w:r>
            <w:rPr>
              <w:rFonts w:hint="eastAsia" w:ascii="黑体" w:hAnsi="黑体" w:eastAsia="黑体"/>
              <w:color w:val="auto"/>
              <w:kern w:val="0"/>
              <w:sz w:val="28"/>
              <w:szCs w:val="28"/>
            </w:rPr>
            <w:t>第五部分  就业创业工作的主要措施及特点</w:t>
          </w:r>
          <w:r>
            <w:rPr>
              <w:color w:val="auto"/>
              <w:sz w:val="28"/>
              <w:szCs w:val="28"/>
            </w:rPr>
            <w:tab/>
          </w:r>
          <w:r>
            <w:rPr>
              <w:color w:val="auto"/>
              <w:sz w:val="28"/>
              <w:szCs w:val="28"/>
            </w:rPr>
            <w:fldChar w:fldCharType="begin"/>
          </w:r>
          <w:r>
            <w:rPr>
              <w:color w:val="auto"/>
              <w:sz w:val="28"/>
              <w:szCs w:val="28"/>
            </w:rPr>
            <w:instrText xml:space="preserve"> PAGEREF _Toc21104 </w:instrText>
          </w:r>
          <w:r>
            <w:rPr>
              <w:color w:val="auto"/>
              <w:sz w:val="28"/>
              <w:szCs w:val="28"/>
            </w:rPr>
            <w:fldChar w:fldCharType="separate"/>
          </w:r>
          <w:r>
            <w:rPr>
              <w:color w:val="auto"/>
              <w:sz w:val="28"/>
              <w:szCs w:val="28"/>
            </w:rPr>
            <w:t>32</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_Toc10740 </w:instrText>
          </w:r>
          <w:r>
            <w:rPr>
              <w:color w:val="auto"/>
              <w:sz w:val="28"/>
              <w:szCs w:val="28"/>
            </w:rPr>
            <w:fldChar w:fldCharType="separate"/>
          </w:r>
          <w:r>
            <w:rPr>
              <w:rFonts w:hint="eastAsia" w:ascii="仿宋_GB2312" w:hAnsi="仿宋_GB2312" w:eastAsia="仿宋_GB2312" w:cs="仿宋_GB2312"/>
              <w:color w:val="auto"/>
              <w:sz w:val="28"/>
              <w:szCs w:val="28"/>
              <w:lang w:val="en-US" w:eastAsia="zh-CN"/>
            </w:rPr>
            <w:t>5.1 加强领导</w:t>
          </w:r>
          <w:r>
            <w:rPr>
              <w:rFonts w:hint="eastAsia" w:ascii="仿宋_GB2312" w:hAnsi="仿宋_GB2312" w:eastAsia="仿宋_GB2312" w:cs="仿宋_GB2312"/>
              <w:color w:val="auto"/>
              <w:sz w:val="28"/>
              <w:szCs w:val="28"/>
              <w:lang w:eastAsia="zh-CN"/>
            </w:rPr>
            <w:t>，明确责任，进一步完善就业创业工作体系</w:t>
          </w:r>
          <w:r>
            <w:rPr>
              <w:color w:val="auto"/>
              <w:sz w:val="28"/>
              <w:szCs w:val="28"/>
            </w:rPr>
            <w:tab/>
          </w:r>
          <w:r>
            <w:rPr>
              <w:color w:val="auto"/>
              <w:sz w:val="28"/>
              <w:szCs w:val="28"/>
            </w:rPr>
            <w:fldChar w:fldCharType="begin"/>
          </w:r>
          <w:r>
            <w:rPr>
              <w:color w:val="auto"/>
              <w:sz w:val="28"/>
              <w:szCs w:val="28"/>
            </w:rPr>
            <w:instrText xml:space="preserve"> PAGEREF _Toc10740 </w:instrText>
          </w:r>
          <w:r>
            <w:rPr>
              <w:color w:val="auto"/>
              <w:sz w:val="28"/>
              <w:szCs w:val="28"/>
            </w:rPr>
            <w:fldChar w:fldCharType="separate"/>
          </w:r>
          <w:r>
            <w:rPr>
              <w:color w:val="auto"/>
              <w:sz w:val="28"/>
              <w:szCs w:val="28"/>
            </w:rPr>
            <w:t>32</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_Toc4993 </w:instrText>
          </w:r>
          <w:r>
            <w:rPr>
              <w:color w:val="auto"/>
              <w:sz w:val="28"/>
              <w:szCs w:val="28"/>
            </w:rPr>
            <w:fldChar w:fldCharType="separate"/>
          </w:r>
          <w:r>
            <w:rPr>
              <w:rFonts w:hint="eastAsia" w:ascii="仿宋_GB2312" w:hAnsi="仿宋_GB2312" w:eastAsia="仿宋_GB2312" w:cs="仿宋_GB2312"/>
              <w:color w:val="auto"/>
              <w:sz w:val="28"/>
              <w:szCs w:val="28"/>
              <w:lang w:val="en-US" w:eastAsia="zh-CN"/>
            </w:rPr>
            <w:t>5.2 精细引导</w:t>
          </w:r>
          <w:r>
            <w:rPr>
              <w:rFonts w:hint="eastAsia" w:ascii="仿宋_GB2312" w:hAnsi="仿宋_GB2312" w:eastAsia="仿宋_GB2312" w:cs="仿宋_GB2312"/>
              <w:color w:val="auto"/>
              <w:sz w:val="28"/>
              <w:szCs w:val="28"/>
              <w:lang w:eastAsia="zh-CN"/>
            </w:rPr>
            <w:t>，强化意识，切实帮助毕业生树立正确就业观</w:t>
          </w:r>
          <w:r>
            <w:rPr>
              <w:color w:val="auto"/>
              <w:sz w:val="28"/>
              <w:szCs w:val="28"/>
            </w:rPr>
            <w:tab/>
          </w:r>
          <w:r>
            <w:rPr>
              <w:color w:val="auto"/>
              <w:sz w:val="28"/>
              <w:szCs w:val="28"/>
            </w:rPr>
            <w:fldChar w:fldCharType="begin"/>
          </w:r>
          <w:r>
            <w:rPr>
              <w:color w:val="auto"/>
              <w:sz w:val="28"/>
              <w:szCs w:val="28"/>
            </w:rPr>
            <w:instrText xml:space="preserve"> PAGEREF _Toc4993 </w:instrText>
          </w:r>
          <w:r>
            <w:rPr>
              <w:color w:val="auto"/>
              <w:sz w:val="28"/>
              <w:szCs w:val="28"/>
            </w:rPr>
            <w:fldChar w:fldCharType="separate"/>
          </w:r>
          <w:r>
            <w:rPr>
              <w:color w:val="auto"/>
              <w:sz w:val="28"/>
              <w:szCs w:val="28"/>
            </w:rPr>
            <w:t>32</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_Toc6208 </w:instrText>
          </w:r>
          <w:r>
            <w:rPr>
              <w:color w:val="auto"/>
              <w:sz w:val="28"/>
              <w:szCs w:val="28"/>
            </w:rPr>
            <w:fldChar w:fldCharType="separate"/>
          </w:r>
          <w:r>
            <w:rPr>
              <w:rFonts w:hint="eastAsia" w:ascii="仿宋_GB2312" w:hAnsi="仿宋_GB2312" w:eastAsia="仿宋_GB2312" w:cs="仿宋_GB2312"/>
              <w:color w:val="auto"/>
              <w:sz w:val="28"/>
              <w:szCs w:val="28"/>
              <w:lang w:val="en-US" w:eastAsia="zh-CN"/>
            </w:rPr>
            <w:t xml:space="preserve">5.3 </w:t>
          </w:r>
          <w:r>
            <w:rPr>
              <w:rFonts w:hint="eastAsia" w:ascii="仿宋_GB2312" w:hAnsi="仿宋_GB2312" w:eastAsia="仿宋_GB2312" w:cs="仿宋_GB2312"/>
              <w:color w:val="auto"/>
              <w:sz w:val="28"/>
              <w:szCs w:val="28"/>
              <w:lang w:eastAsia="zh-CN"/>
            </w:rPr>
            <w:t>多措并举，精心组织，努力把就业创业工作落到实处</w:t>
          </w:r>
          <w:r>
            <w:rPr>
              <w:color w:val="auto"/>
              <w:sz w:val="28"/>
              <w:szCs w:val="28"/>
            </w:rPr>
            <w:tab/>
          </w:r>
          <w:r>
            <w:rPr>
              <w:color w:val="auto"/>
              <w:sz w:val="28"/>
              <w:szCs w:val="28"/>
            </w:rPr>
            <w:fldChar w:fldCharType="begin"/>
          </w:r>
          <w:r>
            <w:rPr>
              <w:color w:val="auto"/>
              <w:sz w:val="28"/>
              <w:szCs w:val="28"/>
            </w:rPr>
            <w:instrText xml:space="preserve"> PAGEREF _Toc6208 </w:instrText>
          </w:r>
          <w:r>
            <w:rPr>
              <w:color w:val="auto"/>
              <w:sz w:val="28"/>
              <w:szCs w:val="28"/>
            </w:rPr>
            <w:fldChar w:fldCharType="separate"/>
          </w:r>
          <w:r>
            <w:rPr>
              <w:color w:val="auto"/>
              <w:sz w:val="28"/>
              <w:szCs w:val="28"/>
            </w:rPr>
            <w:t>33</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_Toc20671 </w:instrText>
          </w:r>
          <w:r>
            <w:rPr>
              <w:color w:val="auto"/>
              <w:sz w:val="28"/>
              <w:szCs w:val="28"/>
            </w:rPr>
            <w:fldChar w:fldCharType="separate"/>
          </w:r>
          <w:r>
            <w:rPr>
              <w:rFonts w:hint="eastAsia" w:ascii="仿宋_GB2312" w:hAnsi="仿宋_GB2312" w:eastAsia="仿宋_GB2312" w:cs="仿宋_GB2312"/>
              <w:color w:val="auto"/>
              <w:sz w:val="28"/>
              <w:szCs w:val="28"/>
              <w:lang w:val="en-US" w:eastAsia="zh-CN"/>
            </w:rPr>
            <w:t>5.4 以基地为抓手，</w:t>
          </w:r>
          <w:r>
            <w:rPr>
              <w:rFonts w:hint="eastAsia" w:ascii="仿宋_GB2312" w:hAnsi="仿宋_GB2312" w:eastAsia="仿宋_GB2312" w:cs="仿宋_GB2312"/>
              <w:color w:val="auto"/>
              <w:sz w:val="28"/>
              <w:szCs w:val="28"/>
              <w:lang w:eastAsia="zh-CN"/>
            </w:rPr>
            <w:t>以活动为载体，创新创业工作全面铺开</w:t>
          </w:r>
          <w:r>
            <w:rPr>
              <w:color w:val="auto"/>
              <w:sz w:val="28"/>
              <w:szCs w:val="28"/>
            </w:rPr>
            <w:tab/>
          </w:r>
          <w:r>
            <w:rPr>
              <w:color w:val="auto"/>
              <w:sz w:val="28"/>
              <w:szCs w:val="28"/>
            </w:rPr>
            <w:fldChar w:fldCharType="begin"/>
          </w:r>
          <w:r>
            <w:rPr>
              <w:color w:val="auto"/>
              <w:sz w:val="28"/>
              <w:szCs w:val="28"/>
            </w:rPr>
            <w:instrText xml:space="preserve"> PAGEREF _Toc20671 </w:instrText>
          </w:r>
          <w:r>
            <w:rPr>
              <w:color w:val="auto"/>
              <w:sz w:val="28"/>
              <w:szCs w:val="28"/>
            </w:rPr>
            <w:fldChar w:fldCharType="separate"/>
          </w:r>
          <w:r>
            <w:rPr>
              <w:color w:val="auto"/>
              <w:sz w:val="28"/>
              <w:szCs w:val="28"/>
            </w:rPr>
            <w:t>36</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_Toc29240 </w:instrText>
          </w:r>
          <w:r>
            <w:rPr>
              <w:color w:val="auto"/>
              <w:sz w:val="28"/>
              <w:szCs w:val="28"/>
            </w:rPr>
            <w:fldChar w:fldCharType="separate"/>
          </w:r>
          <w:r>
            <w:rPr>
              <w:rFonts w:hint="eastAsia" w:ascii="仿宋_GB2312" w:hAnsi="仿宋_GB2312" w:eastAsia="仿宋_GB2312" w:cs="仿宋_GB2312"/>
              <w:color w:val="auto"/>
              <w:sz w:val="28"/>
              <w:szCs w:val="28"/>
              <w:lang w:val="en-US" w:eastAsia="zh-CN"/>
            </w:rPr>
            <w:t xml:space="preserve">5.5 </w:t>
          </w:r>
          <w:r>
            <w:rPr>
              <w:rFonts w:hint="eastAsia" w:ascii="仿宋_GB2312" w:hAnsi="仿宋_GB2312" w:eastAsia="仿宋_GB2312" w:cs="仿宋_GB2312"/>
              <w:color w:val="auto"/>
              <w:sz w:val="28"/>
              <w:szCs w:val="28"/>
              <w:lang w:eastAsia="zh-CN"/>
            </w:rPr>
            <w:t>创新方法，</w:t>
          </w:r>
          <w:r>
            <w:rPr>
              <w:rFonts w:hint="eastAsia" w:ascii="仿宋_GB2312" w:hAnsi="仿宋_GB2312" w:eastAsia="仿宋_GB2312" w:cs="仿宋_GB2312"/>
              <w:color w:val="auto"/>
              <w:sz w:val="28"/>
              <w:szCs w:val="28"/>
              <w:lang w:val="en-US" w:eastAsia="zh-CN"/>
            </w:rPr>
            <w:t>凝练特色，</w:t>
          </w:r>
          <w:r>
            <w:rPr>
              <w:rFonts w:hint="eastAsia" w:ascii="仿宋_GB2312" w:hAnsi="仿宋_GB2312" w:eastAsia="仿宋_GB2312" w:cs="仿宋_GB2312"/>
              <w:color w:val="auto"/>
              <w:sz w:val="28"/>
              <w:szCs w:val="28"/>
              <w:lang w:eastAsia="zh-CN"/>
            </w:rPr>
            <w:t>工作成效显著</w:t>
          </w:r>
          <w:r>
            <w:rPr>
              <w:color w:val="auto"/>
              <w:sz w:val="28"/>
              <w:szCs w:val="28"/>
            </w:rPr>
            <w:tab/>
          </w:r>
          <w:r>
            <w:rPr>
              <w:color w:val="auto"/>
              <w:sz w:val="28"/>
              <w:szCs w:val="28"/>
            </w:rPr>
            <w:fldChar w:fldCharType="begin"/>
          </w:r>
          <w:r>
            <w:rPr>
              <w:color w:val="auto"/>
              <w:sz w:val="28"/>
              <w:szCs w:val="28"/>
            </w:rPr>
            <w:instrText xml:space="preserve"> PAGEREF _Toc29240 </w:instrText>
          </w:r>
          <w:r>
            <w:rPr>
              <w:color w:val="auto"/>
              <w:sz w:val="28"/>
              <w:szCs w:val="28"/>
            </w:rPr>
            <w:fldChar w:fldCharType="separate"/>
          </w:r>
          <w:r>
            <w:rPr>
              <w:color w:val="auto"/>
              <w:sz w:val="28"/>
              <w:szCs w:val="28"/>
            </w:rPr>
            <w:t>37</w:t>
          </w:r>
          <w:r>
            <w:rPr>
              <w:color w:val="auto"/>
              <w:sz w:val="28"/>
              <w:szCs w:val="28"/>
            </w:rPr>
            <w:fldChar w:fldCharType="end"/>
          </w:r>
          <w:r>
            <w:rPr>
              <w:color w:val="auto"/>
              <w:sz w:val="28"/>
              <w:szCs w:val="28"/>
            </w:rPr>
            <w:fldChar w:fldCharType="end"/>
          </w:r>
        </w:p>
        <w:p>
          <w:pPr>
            <w:pStyle w:val="12"/>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_Toc3933 </w:instrText>
          </w:r>
          <w:r>
            <w:rPr>
              <w:color w:val="auto"/>
              <w:sz w:val="28"/>
              <w:szCs w:val="28"/>
            </w:rPr>
            <w:fldChar w:fldCharType="separate"/>
          </w:r>
          <w:r>
            <w:rPr>
              <w:rFonts w:hint="eastAsia" w:ascii="黑体" w:hAnsi="黑体" w:eastAsia="黑体"/>
              <w:color w:val="auto"/>
              <w:kern w:val="0"/>
              <w:sz w:val="28"/>
              <w:szCs w:val="28"/>
            </w:rPr>
            <w:t>第六部分 发展趋势与展望</w:t>
          </w:r>
          <w:r>
            <w:rPr>
              <w:color w:val="auto"/>
              <w:sz w:val="28"/>
              <w:szCs w:val="28"/>
            </w:rPr>
            <w:tab/>
          </w:r>
          <w:r>
            <w:rPr>
              <w:color w:val="auto"/>
              <w:sz w:val="28"/>
              <w:szCs w:val="28"/>
            </w:rPr>
            <w:fldChar w:fldCharType="begin"/>
          </w:r>
          <w:r>
            <w:rPr>
              <w:color w:val="auto"/>
              <w:sz w:val="28"/>
              <w:szCs w:val="28"/>
            </w:rPr>
            <w:instrText xml:space="preserve"> PAGEREF _Toc3933 </w:instrText>
          </w:r>
          <w:r>
            <w:rPr>
              <w:color w:val="auto"/>
              <w:sz w:val="28"/>
              <w:szCs w:val="28"/>
            </w:rPr>
            <w:fldChar w:fldCharType="separate"/>
          </w:r>
          <w:r>
            <w:rPr>
              <w:color w:val="auto"/>
              <w:sz w:val="28"/>
              <w:szCs w:val="28"/>
            </w:rPr>
            <w:t>40</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_Toc19442 </w:instrText>
          </w:r>
          <w:r>
            <w:rPr>
              <w:color w:val="auto"/>
              <w:sz w:val="28"/>
              <w:szCs w:val="28"/>
            </w:rPr>
            <w:fldChar w:fldCharType="separate"/>
          </w:r>
          <w:r>
            <w:rPr>
              <w:rFonts w:hint="eastAsia" w:ascii="仿宋_GB2312" w:hAnsi="仿宋_GB2312" w:eastAsia="仿宋_GB2312" w:cs="仿宋_GB2312"/>
              <w:color w:val="auto"/>
              <w:sz w:val="28"/>
              <w:szCs w:val="28"/>
              <w:lang w:eastAsia="zh-CN"/>
            </w:rPr>
            <w:t>6.1</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eastAsia="zh-CN"/>
            </w:rPr>
            <w:t>签约单位性质、行业分布广，发展逐步多元化</w:t>
          </w:r>
          <w:r>
            <w:rPr>
              <w:color w:val="auto"/>
              <w:sz w:val="28"/>
              <w:szCs w:val="28"/>
            </w:rPr>
            <w:tab/>
          </w:r>
          <w:r>
            <w:rPr>
              <w:color w:val="auto"/>
              <w:sz w:val="28"/>
              <w:szCs w:val="28"/>
            </w:rPr>
            <w:fldChar w:fldCharType="begin"/>
          </w:r>
          <w:r>
            <w:rPr>
              <w:color w:val="auto"/>
              <w:sz w:val="28"/>
              <w:szCs w:val="28"/>
            </w:rPr>
            <w:instrText xml:space="preserve"> PAGEREF _Toc19442 </w:instrText>
          </w:r>
          <w:r>
            <w:rPr>
              <w:color w:val="auto"/>
              <w:sz w:val="28"/>
              <w:szCs w:val="28"/>
            </w:rPr>
            <w:fldChar w:fldCharType="separate"/>
          </w:r>
          <w:r>
            <w:rPr>
              <w:color w:val="auto"/>
              <w:sz w:val="28"/>
              <w:szCs w:val="28"/>
            </w:rPr>
            <w:t>40</w:t>
          </w:r>
          <w:r>
            <w:rPr>
              <w:color w:val="auto"/>
              <w:sz w:val="28"/>
              <w:szCs w:val="28"/>
            </w:rPr>
            <w:fldChar w:fldCharType="end"/>
          </w:r>
          <w:r>
            <w:rPr>
              <w:color w:val="auto"/>
              <w:sz w:val="28"/>
              <w:szCs w:val="28"/>
            </w:rPr>
            <w:fldChar w:fldCharType="end"/>
          </w:r>
        </w:p>
        <w:p>
          <w:pPr>
            <w:pStyle w:val="15"/>
            <w:tabs>
              <w:tab w:val="right" w:leader="dot" w:pos="8306"/>
            </w:tabs>
            <w:rPr>
              <w:color w:val="auto"/>
              <w:sz w:val="28"/>
              <w:szCs w:val="28"/>
            </w:rPr>
          </w:pPr>
          <w:r>
            <w:rPr>
              <w:color w:val="auto"/>
              <w:sz w:val="28"/>
              <w:szCs w:val="28"/>
            </w:rPr>
            <w:fldChar w:fldCharType="begin"/>
          </w:r>
          <w:r>
            <w:rPr>
              <w:color w:val="auto"/>
              <w:sz w:val="28"/>
              <w:szCs w:val="28"/>
            </w:rPr>
            <w:instrText xml:space="preserve"> HYPERLINK \l _Toc20502 </w:instrText>
          </w:r>
          <w:r>
            <w:rPr>
              <w:color w:val="auto"/>
              <w:sz w:val="28"/>
              <w:szCs w:val="28"/>
            </w:rPr>
            <w:fldChar w:fldCharType="separate"/>
          </w:r>
          <w:r>
            <w:rPr>
              <w:rFonts w:hint="eastAsia" w:ascii="仿宋_GB2312" w:hAnsi="仿宋_GB2312" w:eastAsia="仿宋_GB2312" w:cs="仿宋_GB2312"/>
              <w:color w:val="auto"/>
              <w:sz w:val="28"/>
              <w:szCs w:val="28"/>
              <w:lang w:eastAsia="zh-CN"/>
            </w:rPr>
            <w:t>6.</w:t>
          </w:r>
          <w:r>
            <w:rPr>
              <w:rFonts w:hint="eastAsia" w:ascii="仿宋_GB2312" w:hAnsi="仿宋_GB2312" w:eastAsia="仿宋_GB2312" w:cs="仿宋_GB2312"/>
              <w:color w:val="auto"/>
              <w:sz w:val="28"/>
              <w:szCs w:val="28"/>
              <w:lang w:val="en-US" w:eastAsia="zh-CN"/>
            </w:rPr>
            <w:t xml:space="preserve">2 </w:t>
          </w:r>
          <w:r>
            <w:rPr>
              <w:rFonts w:hint="eastAsia" w:ascii="仿宋_GB2312" w:hAnsi="仿宋_GB2312" w:eastAsia="仿宋_GB2312" w:cs="仿宋_GB2312"/>
              <w:bCs w:val="0"/>
              <w:color w:val="auto"/>
              <w:sz w:val="28"/>
              <w:szCs w:val="28"/>
              <w:lang w:eastAsia="zh-CN"/>
            </w:rPr>
            <w:t>就业地区</w:t>
          </w:r>
          <w:r>
            <w:rPr>
              <w:rFonts w:hint="eastAsia" w:ascii="仿宋_GB2312" w:eastAsia="仿宋_GB2312"/>
              <w:bCs w:val="0"/>
              <w:color w:val="auto"/>
              <w:sz w:val="28"/>
              <w:szCs w:val="28"/>
            </w:rPr>
            <w:t>覆盖</w:t>
          </w:r>
          <w:r>
            <w:rPr>
              <w:rFonts w:hint="eastAsia" w:ascii="仿宋_GB2312" w:hAnsi="仿宋_GB2312" w:eastAsia="仿宋_GB2312" w:cs="仿宋_GB2312"/>
              <w:bCs w:val="0"/>
              <w:color w:val="auto"/>
              <w:sz w:val="28"/>
              <w:szCs w:val="28"/>
              <w:lang w:eastAsia="zh-CN"/>
            </w:rPr>
            <w:t>宽，</w:t>
          </w:r>
          <w:r>
            <w:rPr>
              <w:rFonts w:hint="eastAsia" w:ascii="仿宋_GB2312" w:hAnsi="仿宋_GB2312" w:eastAsia="仿宋_GB2312" w:cs="仿宋_GB2312"/>
              <w:color w:val="auto"/>
              <w:sz w:val="28"/>
              <w:szCs w:val="28"/>
              <w:lang w:eastAsia="zh-CN"/>
            </w:rPr>
            <w:t>地域分布日趋广泛</w:t>
          </w:r>
          <w:r>
            <w:rPr>
              <w:color w:val="auto"/>
              <w:sz w:val="28"/>
              <w:szCs w:val="28"/>
            </w:rPr>
            <w:tab/>
          </w:r>
          <w:r>
            <w:rPr>
              <w:color w:val="auto"/>
              <w:sz w:val="28"/>
              <w:szCs w:val="28"/>
            </w:rPr>
            <w:fldChar w:fldCharType="begin"/>
          </w:r>
          <w:r>
            <w:rPr>
              <w:color w:val="auto"/>
              <w:sz w:val="28"/>
              <w:szCs w:val="28"/>
            </w:rPr>
            <w:instrText xml:space="preserve"> PAGEREF _Toc20502 </w:instrText>
          </w:r>
          <w:r>
            <w:rPr>
              <w:color w:val="auto"/>
              <w:sz w:val="28"/>
              <w:szCs w:val="28"/>
            </w:rPr>
            <w:fldChar w:fldCharType="separate"/>
          </w:r>
          <w:r>
            <w:rPr>
              <w:color w:val="auto"/>
              <w:sz w:val="28"/>
              <w:szCs w:val="28"/>
            </w:rPr>
            <w:t>40</w:t>
          </w:r>
          <w:r>
            <w:rPr>
              <w:color w:val="auto"/>
              <w:sz w:val="28"/>
              <w:szCs w:val="28"/>
            </w:rPr>
            <w:fldChar w:fldCharType="end"/>
          </w:r>
          <w:r>
            <w:rPr>
              <w:color w:val="auto"/>
              <w:sz w:val="28"/>
              <w:szCs w:val="28"/>
            </w:rPr>
            <w:fldChar w:fldCharType="end"/>
          </w:r>
        </w:p>
        <w:p>
          <w:pPr>
            <w:pStyle w:val="15"/>
            <w:tabs>
              <w:tab w:val="right" w:leader="dot" w:pos="8306"/>
            </w:tabs>
          </w:pPr>
          <w:r>
            <w:rPr>
              <w:color w:val="auto"/>
              <w:sz w:val="28"/>
              <w:szCs w:val="28"/>
            </w:rPr>
            <w:fldChar w:fldCharType="begin"/>
          </w:r>
          <w:r>
            <w:rPr>
              <w:color w:val="auto"/>
              <w:sz w:val="28"/>
              <w:szCs w:val="28"/>
            </w:rPr>
            <w:instrText xml:space="preserve"> HYPERLINK \l _Toc29748 </w:instrText>
          </w:r>
          <w:r>
            <w:rPr>
              <w:color w:val="auto"/>
              <w:sz w:val="28"/>
              <w:szCs w:val="28"/>
            </w:rPr>
            <w:fldChar w:fldCharType="separate"/>
          </w:r>
          <w:r>
            <w:rPr>
              <w:rFonts w:hint="eastAsia" w:ascii="仿宋_GB2312" w:hAnsi="仿宋_GB2312" w:eastAsia="仿宋_GB2312" w:cs="仿宋_GB2312"/>
              <w:color w:val="auto"/>
              <w:sz w:val="28"/>
              <w:szCs w:val="28"/>
              <w:lang w:eastAsia="zh-CN"/>
            </w:rPr>
            <w:t>6.</w:t>
          </w:r>
          <w:r>
            <w:rPr>
              <w:rFonts w:hint="eastAsia" w:ascii="仿宋_GB2312" w:hAnsi="仿宋_GB2312" w:eastAsia="仿宋_GB2312" w:cs="仿宋_GB2312"/>
              <w:color w:val="auto"/>
              <w:sz w:val="28"/>
              <w:szCs w:val="28"/>
              <w:lang w:val="en-US" w:eastAsia="zh-CN"/>
            </w:rPr>
            <w:t xml:space="preserve">3 </w:t>
          </w:r>
          <w:r>
            <w:rPr>
              <w:rFonts w:hint="eastAsia" w:ascii="仿宋_GB2312" w:hAnsi="仿宋_GB2312" w:eastAsia="仿宋_GB2312" w:cs="仿宋_GB2312"/>
              <w:color w:val="auto"/>
              <w:sz w:val="28"/>
              <w:szCs w:val="28"/>
              <w:lang w:eastAsia="zh-CN"/>
            </w:rPr>
            <w:t>升学人数逐年增多，升入高校质量持续提升</w:t>
          </w:r>
          <w:r>
            <w:rPr>
              <w:color w:val="auto"/>
              <w:sz w:val="28"/>
              <w:szCs w:val="28"/>
            </w:rPr>
            <w:tab/>
          </w:r>
          <w:r>
            <w:rPr>
              <w:color w:val="auto"/>
              <w:sz w:val="28"/>
              <w:szCs w:val="28"/>
            </w:rPr>
            <w:fldChar w:fldCharType="begin"/>
          </w:r>
          <w:r>
            <w:rPr>
              <w:color w:val="auto"/>
              <w:sz w:val="28"/>
              <w:szCs w:val="28"/>
            </w:rPr>
            <w:instrText xml:space="preserve"> PAGEREF _Toc29748 </w:instrText>
          </w:r>
          <w:r>
            <w:rPr>
              <w:color w:val="auto"/>
              <w:sz w:val="28"/>
              <w:szCs w:val="28"/>
            </w:rPr>
            <w:fldChar w:fldCharType="separate"/>
          </w:r>
          <w:r>
            <w:rPr>
              <w:color w:val="auto"/>
              <w:sz w:val="28"/>
              <w:szCs w:val="28"/>
            </w:rPr>
            <w:t>41</w:t>
          </w:r>
          <w:r>
            <w:rPr>
              <w:color w:val="auto"/>
              <w:sz w:val="28"/>
              <w:szCs w:val="28"/>
            </w:rPr>
            <w:fldChar w:fldCharType="end"/>
          </w:r>
          <w:r>
            <w:rPr>
              <w:color w:val="auto"/>
              <w:sz w:val="28"/>
              <w:szCs w:val="28"/>
            </w:rPr>
            <w:fldChar w:fldCharType="end"/>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color w:val="auto"/>
              <w:sz w:val="28"/>
              <w:szCs w:val="28"/>
            </w:rPr>
          </w:pPr>
          <w:r>
            <w:rPr>
              <w:color w:val="auto"/>
              <w:szCs w:val="28"/>
            </w:rPr>
            <w:fldChar w:fldCharType="end"/>
          </w:r>
        </w:p>
      </w:sdtContent>
    </w:sdt>
    <w:p>
      <w:pPr>
        <w:autoSpaceDE w:val="0"/>
        <w:autoSpaceDN w:val="0"/>
        <w:adjustRightInd w:val="0"/>
        <w:jc w:val="left"/>
        <w:outlineLvl w:val="2"/>
        <w:rPr>
          <w:rFonts w:hint="eastAsia" w:ascii="黑体" w:hAnsi="黑体" w:eastAsia="黑体"/>
          <w:b/>
          <w:color w:val="00B0F0"/>
          <w:sz w:val="36"/>
          <w:szCs w:val="36"/>
        </w:rPr>
        <w:sectPr>
          <w:headerReference r:id="rId4" w:type="default"/>
          <w:footerReference r:id="rId5" w:type="default"/>
          <w:pgSz w:w="11906" w:h="16838"/>
          <w:pgMar w:top="1701" w:right="1800" w:bottom="1440" w:left="1800" w:header="851" w:footer="992" w:gutter="0"/>
          <w:pgBorders>
            <w:top w:val="none" w:sz="0" w:space="0"/>
            <w:left w:val="none" w:sz="0" w:space="0"/>
            <w:bottom w:val="none" w:sz="0" w:space="0"/>
            <w:right w:val="none" w:sz="0" w:space="0"/>
          </w:pgBorders>
          <w:pgNumType w:fmt="decimal" w:start="1" w:chapStyle="1"/>
          <w:cols w:space="720" w:num="1"/>
          <w:docGrid w:type="lines" w:linePitch="312" w:charSpace="0"/>
        </w:sectPr>
      </w:pPr>
      <w:bookmarkStart w:id="0" w:name="_Toc12121"/>
    </w:p>
    <w:p>
      <w:pPr>
        <w:autoSpaceDE w:val="0"/>
        <w:autoSpaceDN w:val="0"/>
        <w:adjustRightInd w:val="0"/>
        <w:jc w:val="center"/>
        <w:outlineLvl w:val="2"/>
        <w:rPr>
          <w:rFonts w:ascii="黑体" w:hAnsi="黑体" w:eastAsia="黑体"/>
          <w:b/>
          <w:color w:val="00B0F0"/>
          <w:sz w:val="36"/>
          <w:szCs w:val="36"/>
          <w14:textFill>
            <w14:gradFill>
              <w14:gsLst>
                <w14:gs w14:pos="0">
                  <w14:srgbClr w14:val="007BD3"/>
                </w14:gs>
                <w14:gs w14:pos="100000">
                  <w14:srgbClr w14:val="034373"/>
                </w14:gs>
              </w14:gsLst>
              <w14:lin w14:scaled="0"/>
            </w14:gradFill>
          </w14:textFill>
        </w:rPr>
      </w:pPr>
      <w:bookmarkStart w:id="1" w:name="_Toc3616"/>
      <w:bookmarkStart w:id="2" w:name="_Toc9506"/>
      <w:bookmarkStart w:id="3" w:name="_Toc12416"/>
      <w:bookmarkStart w:id="4" w:name="_Toc8102"/>
      <w:r>
        <w:rPr>
          <w:rFonts w:hint="eastAsia" w:ascii="黑体" w:hAnsi="黑体" w:eastAsia="黑体"/>
          <w:b/>
          <w:color w:val="00B0F0"/>
          <w:sz w:val="36"/>
          <w:szCs w:val="36"/>
          <w14:textFill>
            <w14:gradFill>
              <w14:gsLst>
                <w14:gs w14:pos="0">
                  <w14:srgbClr w14:val="007BD3"/>
                </w14:gs>
                <w14:gs w14:pos="100000">
                  <w14:srgbClr w14:val="034373"/>
                </w14:gs>
              </w14:gsLst>
              <w14:lin w14:scaled="0"/>
            </w14:gradFill>
          </w14:textFill>
        </w:rPr>
        <w:t>湖南财政经济学院</w:t>
      </w:r>
      <w:r>
        <w:rPr>
          <w:rFonts w:ascii="黑体" w:hAnsi="黑体" w:eastAsia="黑体"/>
          <w:b/>
          <w:color w:val="00B0F0"/>
          <w:sz w:val="36"/>
          <w:szCs w:val="36"/>
          <w14:textFill>
            <w14:gradFill>
              <w14:gsLst>
                <w14:gs w14:pos="0">
                  <w14:srgbClr w14:val="007BD3"/>
                </w14:gs>
                <w14:gs w14:pos="100000">
                  <w14:srgbClr w14:val="034373"/>
                </w14:gs>
              </w14:gsLst>
              <w14:lin w14:scaled="0"/>
            </w14:gradFill>
          </w14:textFill>
        </w:rPr>
        <w:t>20</w:t>
      </w:r>
      <w:r>
        <w:rPr>
          <w:rFonts w:hint="eastAsia" w:ascii="黑体" w:hAnsi="黑体" w:eastAsia="黑体"/>
          <w:b/>
          <w:color w:val="00B0F0"/>
          <w:sz w:val="36"/>
          <w:szCs w:val="36"/>
          <w:lang w:val="en-US" w:eastAsia="zh-CN"/>
          <w14:textFill>
            <w14:gradFill>
              <w14:gsLst>
                <w14:gs w14:pos="0">
                  <w14:srgbClr w14:val="007BD3"/>
                </w14:gs>
                <w14:gs w14:pos="100000">
                  <w14:srgbClr w14:val="034373"/>
                </w14:gs>
              </w14:gsLst>
              <w14:lin w14:scaled="0"/>
            </w14:gradFill>
          </w14:textFill>
        </w:rPr>
        <w:t>21</w:t>
      </w:r>
      <w:r>
        <w:rPr>
          <w:rFonts w:hint="eastAsia" w:ascii="黑体" w:hAnsi="黑体" w:eastAsia="黑体"/>
          <w:b/>
          <w:color w:val="00B0F0"/>
          <w:sz w:val="36"/>
          <w:szCs w:val="36"/>
          <w14:textFill>
            <w14:gradFill>
              <w14:gsLst>
                <w14:gs w14:pos="0">
                  <w14:srgbClr w14:val="007BD3"/>
                </w14:gs>
                <w14:gs w14:pos="100000">
                  <w14:srgbClr w14:val="034373"/>
                </w14:gs>
              </w14:gsLst>
              <w14:lin w14:scaled="0"/>
            </w14:gradFill>
          </w14:textFill>
        </w:rPr>
        <w:t>年毕业生就业质量报告</w:t>
      </w:r>
      <w:bookmarkEnd w:id="0"/>
      <w:bookmarkEnd w:id="1"/>
      <w:bookmarkEnd w:id="2"/>
      <w:bookmarkEnd w:id="3"/>
      <w:bookmarkEnd w:id="4"/>
    </w:p>
    <w:p>
      <w:pPr>
        <w:pStyle w:val="3"/>
        <w:pageBreakBefore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bCs/>
          <w:color w:val="00B0F0"/>
          <w:kern w:val="0"/>
          <w:sz w:val="32"/>
          <w:szCs w:val="32"/>
          <w14:textFill>
            <w14:gradFill>
              <w14:gsLst>
                <w14:gs w14:pos="0">
                  <w14:srgbClr w14:val="007BD3"/>
                </w14:gs>
                <w14:gs w14:pos="100000">
                  <w14:srgbClr w14:val="034373"/>
                </w14:gs>
              </w14:gsLst>
              <w14:lin w14:scaled="0"/>
            </w14:gradFill>
          </w14:textFill>
        </w:rPr>
      </w:pPr>
      <w:bookmarkStart w:id="5" w:name="_Toc14472"/>
      <w:bookmarkStart w:id="6" w:name="_Toc437501599"/>
      <w:bookmarkStart w:id="7" w:name="_Toc437032024"/>
      <w:bookmarkStart w:id="8" w:name="_Toc3725"/>
      <w:bookmarkStart w:id="9" w:name="_Toc12562"/>
      <w:bookmarkStart w:id="10" w:name="_Toc405988241"/>
      <w:bookmarkStart w:id="11" w:name="_Toc26752"/>
      <w:r>
        <w:rPr>
          <w:rFonts w:hint="eastAsia" w:ascii="黑体" w:hAnsi="黑体" w:eastAsia="黑体" w:cs="黑体"/>
          <w:b/>
          <w:bCs/>
          <w:color w:val="00B0F0"/>
          <w:kern w:val="0"/>
          <w:sz w:val="32"/>
          <w:szCs w:val="32"/>
          <w14:textFill>
            <w14:gradFill>
              <w14:gsLst>
                <w14:gs w14:pos="0">
                  <w14:srgbClr w14:val="007BD3"/>
                </w14:gs>
                <w14:gs w14:pos="100000">
                  <w14:srgbClr w14:val="034373"/>
                </w14:gs>
              </w14:gsLst>
              <w14:lin w14:scaled="0"/>
            </w14:gradFill>
          </w14:textFill>
        </w:rPr>
        <w:t>前  言</w:t>
      </w:r>
      <w:bookmarkEnd w:id="5"/>
      <w:bookmarkEnd w:id="6"/>
      <w:bookmarkEnd w:id="7"/>
      <w:bookmarkEnd w:id="8"/>
      <w:bookmarkEnd w:id="9"/>
      <w:bookmarkEnd w:id="10"/>
      <w:bookmarkEnd w:id="11"/>
    </w:p>
    <w:p>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湖南财政经济学院是一所由湖南省人民政府主办、省教育厅主管、省财政厅协管的全日制财经类本科院校。学校是国家“双一流”本科专业建设高校、湖南省“双一流”建设项目应用特色学科建设高校，是“大数据国家标准优秀试点单位”、教育部“教育电子政务试点工程单位”（全国四所试点高校之一）、“湖南省文明高等学校”“湖南省普通高校招生工作先进单位”“湖南省高校思想政治教育研究先进单位”和“湖南省综治工作先进单位”</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2020年起，我校调入湖南省本科一批录取。</w:t>
      </w:r>
    </w:p>
    <w:p>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学校发展定位清晰</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财经特色鲜明。设有会计学院、财政金融学院、经济学院、工商管理学院、信息技术与管理学院、</w:t>
      </w:r>
      <w:r>
        <w:rPr>
          <w:rFonts w:hint="eastAsia" w:ascii="仿宋_GB2312" w:hAnsi="仿宋_GB2312" w:eastAsia="仿宋_GB2312" w:cs="仿宋_GB2312"/>
          <w:color w:val="000000" w:themeColor="text1"/>
          <w:sz w:val="28"/>
          <w:szCs w:val="28"/>
          <w:lang w:eastAsia="zh-CN"/>
          <w14:textFill>
            <w14:solidFill>
              <w14:schemeClr w14:val="tx1"/>
            </w14:solidFill>
          </w14:textFill>
        </w:rPr>
        <w:t>法学与</w:t>
      </w:r>
      <w:r>
        <w:rPr>
          <w:rFonts w:hint="eastAsia" w:ascii="仿宋_GB2312" w:hAnsi="仿宋_GB2312" w:eastAsia="仿宋_GB2312" w:cs="仿宋_GB2312"/>
          <w:color w:val="000000" w:themeColor="text1"/>
          <w:sz w:val="28"/>
          <w:szCs w:val="28"/>
          <w14:textFill>
            <w14:solidFill>
              <w14:schemeClr w14:val="tx1"/>
            </w14:solidFill>
          </w14:textFill>
        </w:rPr>
        <w:t>公共管理学院、工程管理学院、外国语学院、人文与艺术学院、数学与统计学院、体育学院、马克思主义学院、厚生国际教育学院、湖南省经济地理研究所等14个二级院所；</w:t>
      </w:r>
      <w:r>
        <w:rPr>
          <w:rFonts w:hint="eastAsia" w:ascii="仿宋_GB2312" w:hAnsi="仿宋_GB2312" w:eastAsia="仿宋_GB2312" w:cs="仿宋_GB2312"/>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color w:val="000000" w:themeColor="text1"/>
          <w:sz w:val="28"/>
          <w:szCs w:val="28"/>
          <w14:textFill>
            <w14:solidFill>
              <w14:schemeClr w14:val="tx1"/>
            </w14:solidFill>
          </w14:textFill>
        </w:rPr>
        <w:t>以管理学、经济学为主，学科专业涵盖管理学、经济学、工学、文学、法学、艺术学、教育学7大门类；开设有会计学、财务管理、审计学、财政学、金融学、投资学、税收学、国际经济与贸易、经济学、商务经济学、国际商务、人力资源管理、市场营销、物流管理、计算机科学与技术、人工智能、数据科学与大数据技术、电子商务、土地资源管理、工程造价、金融数学、商务英语、旅游管理、体育经济与管理、经济统计学、金融科技、人文地理与城乡规划等40个本科专业</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其中，5个专业入选国家一流本科专业建设点；15个专业入选省级一流本科专业建设点</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4个学科入选湖南省高等学校“双一流”建设项目的应用特色学科</w:t>
      </w:r>
      <w:r>
        <w:rPr>
          <w:rFonts w:hint="eastAsia" w:ascii="仿宋_GB2312" w:hAnsi="仿宋_GB2312" w:eastAsia="仿宋_GB2312" w:cs="仿宋_GB2312"/>
          <w:color w:val="000000" w:themeColor="text1"/>
          <w:sz w:val="28"/>
          <w:szCs w:val="28"/>
          <w:lang w:eastAsia="zh-CN"/>
          <w14:textFill>
            <w14:solidFill>
              <w14:schemeClr w14:val="tx1"/>
            </w14:solidFill>
          </w14:textFill>
        </w:rPr>
        <w:t>，全校</w:t>
      </w:r>
      <w:r>
        <w:rPr>
          <w:rFonts w:hint="eastAsia" w:ascii="仿宋_GB2312" w:hAnsi="仿宋_GB2312" w:eastAsia="仿宋_GB2312" w:cs="仿宋_GB2312"/>
          <w:color w:val="000000" w:themeColor="text1"/>
          <w:sz w:val="28"/>
          <w:szCs w:val="28"/>
          <w14:textFill>
            <w14:solidFill>
              <w14:schemeClr w14:val="tx1"/>
            </w14:solidFill>
          </w14:textFill>
        </w:rPr>
        <w:t>现有全日制在校本科学生1</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9</w:t>
      </w:r>
      <w:r>
        <w:rPr>
          <w:rFonts w:hint="eastAsia" w:ascii="仿宋_GB2312" w:hAnsi="仿宋_GB2312" w:eastAsia="仿宋_GB2312" w:cs="仿宋_GB2312"/>
          <w:color w:val="000000" w:themeColor="text1"/>
          <w:sz w:val="28"/>
          <w:szCs w:val="28"/>
          <w:lang w:eastAsia="zh-CN"/>
          <w14:textFill>
            <w14:solidFill>
              <w14:schemeClr w14:val="tx1"/>
            </w14:solidFill>
          </w14:textFill>
        </w:rPr>
        <w:t>万余</w:t>
      </w:r>
      <w:r>
        <w:rPr>
          <w:rFonts w:hint="eastAsia" w:ascii="仿宋_GB2312" w:hAnsi="仿宋_GB2312" w:eastAsia="仿宋_GB2312" w:cs="仿宋_GB2312"/>
          <w:color w:val="000000" w:themeColor="text1"/>
          <w:sz w:val="28"/>
          <w:szCs w:val="28"/>
          <w14:textFill>
            <w14:solidFill>
              <w14:schemeClr w14:val="tx1"/>
            </w14:solidFill>
          </w14:textFill>
        </w:rPr>
        <w:t>人。</w:t>
      </w:r>
    </w:p>
    <w:p>
      <w:pPr>
        <w:pStyle w:val="16"/>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60" w:lineRule="auto"/>
        <w:ind w:left="0"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学校一直高度重视毕业生就业</w:t>
      </w:r>
      <w:r>
        <w:rPr>
          <w:rFonts w:hint="eastAsia" w:ascii="仿宋_GB2312" w:hAnsi="仿宋_GB2312" w:eastAsia="仿宋_GB2312" w:cs="仿宋_GB2312"/>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color w:val="000000" w:themeColor="text1"/>
          <w:sz w:val="28"/>
          <w:szCs w:val="28"/>
          <w14:textFill>
            <w14:solidFill>
              <w14:schemeClr w14:val="tx1"/>
            </w14:solidFill>
          </w14:textFill>
        </w:rPr>
        <w:t>工作，认真贯彻落实教育部、湖南省关于大学生就业</w:t>
      </w:r>
      <w:r>
        <w:rPr>
          <w:rFonts w:hint="eastAsia" w:ascii="仿宋_GB2312" w:hAnsi="仿宋_GB2312" w:eastAsia="仿宋_GB2312" w:cs="仿宋_GB2312"/>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color w:val="000000" w:themeColor="text1"/>
          <w:sz w:val="28"/>
          <w:szCs w:val="28"/>
          <w14:textFill>
            <w14:solidFill>
              <w14:schemeClr w14:val="tx1"/>
            </w14:solidFill>
          </w14:textFill>
        </w:rPr>
        <w:t>工作的精神和要求，以学生的全面发展为目标，加强就业指导，拓展就业市场，加大实习实训和创新创业教育，优化服务质量，努力促进毕业生在适合自身发展的路径上充分高质量就业。学校自建校以来，累计为社会培养了近10万名毕业生。毕业生十分受欢迎，就业情况好。他们活跃在各行各业，尤其是湖南的财政、会计、金融领域，为地方社会经济发展作出了重要贡献。</w:t>
      </w:r>
    </w:p>
    <w:p>
      <w:pPr>
        <w:keepNext w:val="0"/>
        <w:keepLines w:val="0"/>
        <w:pageBreakBefore w:val="0"/>
        <w:kinsoku/>
        <w:wordWrap/>
        <w:overflowPunct/>
        <w:topLinePunct w:val="0"/>
        <w:autoSpaceDE/>
        <w:autoSpaceDN/>
        <w:bidi w:val="0"/>
        <w:adjustRightInd/>
        <w:snapToGrid/>
        <w:spacing w:before="157" w:beforeLines="50" w:beforeAutospacing="0" w:line="360" w:lineRule="auto"/>
        <w:ind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自2013年来学校每年编写年度毕业生就业质量报告，今年根据教育部统一要求，编写了《湖南财政经济学院20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color w:val="000000" w:themeColor="text1"/>
          <w:sz w:val="28"/>
          <w:szCs w:val="28"/>
          <w14:textFill>
            <w14:solidFill>
              <w14:schemeClr w14:val="tx1"/>
            </w14:solidFill>
          </w14:textFill>
        </w:rPr>
        <w:t>届毕业生就业质量报告》。本报告分为六个部分，分别对毕业生基本情况、毕业生就业状况、就业相关分析、就业对教育教学的反馈、就业创业工作的主要措施及特点、发展趋势与展望等进行了统计和分析。本报告数据统计截止时间为20</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color w:val="000000" w:themeColor="text1"/>
          <w:sz w:val="28"/>
          <w:szCs w:val="28"/>
          <w14:textFill>
            <w14:solidFill>
              <w14:schemeClr w14:val="tx1"/>
            </w14:solidFill>
          </w14:textFill>
        </w:rPr>
        <w:t>年8月31日，除单独注明出处的数据之外，其余未做标注的数据均源于湖南财政经济学院就业信息管理系统。</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黑体" w:hAnsi="黑体" w:eastAsia="黑体"/>
          <w:color w:val="00B0F0"/>
          <w:kern w:val="0"/>
          <w:sz w:val="28"/>
          <w:szCs w:val="28"/>
        </w:rPr>
      </w:pPr>
      <w:bookmarkStart w:id="12" w:name="_Toc14912"/>
      <w:r>
        <w:rPr>
          <w:rFonts w:hint="eastAsia" w:ascii="黑体" w:hAnsi="黑体" w:eastAsia="黑体"/>
          <w:color w:val="00B0F0"/>
          <w:kern w:val="0"/>
          <w:sz w:val="28"/>
          <w:szCs w:val="28"/>
        </w:rPr>
        <w:br w:type="page"/>
      </w:r>
    </w:p>
    <w:p>
      <w:pPr>
        <w:pStyle w:val="3"/>
        <w:jc w:val="center"/>
        <w:outlineLvl w:val="0"/>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pPr>
      <w:bookmarkStart w:id="13" w:name="_Toc20367"/>
      <w:bookmarkStart w:id="14" w:name="_Toc31751"/>
      <w:bookmarkStart w:id="15" w:name="_Toc15363"/>
      <w:r>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t>第一部分  毕业生基本情况</w:t>
      </w:r>
      <w:bookmarkEnd w:id="12"/>
      <w:bookmarkEnd w:id="13"/>
      <w:bookmarkEnd w:id="14"/>
      <w:bookmarkEnd w:id="15"/>
    </w:p>
    <w:p>
      <w:pPr>
        <w:pStyle w:val="94"/>
        <w:ind w:firstLine="0" w:firstLineChars="0"/>
        <w:outlineLvl w:val="1"/>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pPr>
      <w:bookmarkStart w:id="16" w:name="_Toc4075"/>
      <w:bookmarkStart w:id="17" w:name="_Toc6673"/>
      <w:bookmarkStart w:id="18" w:name="_Toc20095"/>
      <w:bookmarkStart w:id="19" w:name="_Toc22103"/>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1.</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1</w:t>
      </w:r>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毕业生总体规模</w:t>
      </w:r>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共有本科毕业生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3534</w:t>
      </w:r>
      <w:r>
        <w:rPr>
          <w:rFonts w:hint="eastAsia" w:ascii="仿宋_GB2312" w:hAnsi="仿宋_GB2312" w:eastAsia="仿宋_GB2312" w:cs="仿宋_GB2312"/>
          <w:b w:val="0"/>
          <w:bCs w:val="0"/>
          <w:color w:val="000000" w:themeColor="text1"/>
          <w:sz w:val="28"/>
          <w:szCs w:val="28"/>
          <w14:textFill>
            <w14:solidFill>
              <w14:schemeClr w14:val="tx1"/>
            </w14:solidFill>
          </w14:textFill>
        </w:rPr>
        <w:t>人，其中，会计学院1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034</w:t>
      </w:r>
      <w:r>
        <w:rPr>
          <w:rFonts w:hint="eastAsia" w:ascii="仿宋_GB2312" w:hAnsi="仿宋_GB2312" w:eastAsia="仿宋_GB2312" w:cs="仿宋_GB2312"/>
          <w:b w:val="0"/>
          <w:bCs w:val="0"/>
          <w:color w:val="000000" w:themeColor="text1"/>
          <w:sz w:val="28"/>
          <w:szCs w:val="28"/>
          <w14:textFill>
            <w14:solidFill>
              <w14:schemeClr w14:val="tx1"/>
            </w14:solidFill>
          </w14:textFill>
        </w:rPr>
        <w:t>人、财政金融学院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523</w:t>
      </w:r>
      <w:r>
        <w:rPr>
          <w:rFonts w:hint="eastAsia" w:ascii="仿宋_GB2312" w:hAnsi="仿宋_GB2312" w:eastAsia="仿宋_GB2312" w:cs="仿宋_GB2312"/>
          <w:b w:val="0"/>
          <w:bCs w:val="0"/>
          <w:color w:val="000000" w:themeColor="text1"/>
          <w:sz w:val="28"/>
          <w:szCs w:val="28"/>
          <w14:textFill>
            <w14:solidFill>
              <w14:schemeClr w14:val="tx1"/>
            </w14:solidFill>
          </w14:textFill>
        </w:rPr>
        <w:t>人、工商管理学院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351</w:t>
      </w:r>
      <w:r>
        <w:rPr>
          <w:rFonts w:hint="eastAsia" w:ascii="仿宋_GB2312" w:hAnsi="仿宋_GB2312" w:eastAsia="仿宋_GB2312" w:cs="仿宋_GB2312"/>
          <w:b w:val="0"/>
          <w:bCs w:val="0"/>
          <w:color w:val="000000" w:themeColor="text1"/>
          <w:sz w:val="28"/>
          <w:szCs w:val="28"/>
          <w14:textFill>
            <w14:solidFill>
              <w14:schemeClr w14:val="tx1"/>
            </w14:solidFill>
          </w14:textFill>
        </w:rPr>
        <w:t>人、信息技术与管理学院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391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人、外国语学院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289</w:t>
      </w:r>
      <w:r>
        <w:rPr>
          <w:rFonts w:hint="eastAsia" w:ascii="仿宋_GB2312" w:hAnsi="仿宋_GB2312" w:eastAsia="仿宋_GB2312" w:cs="仿宋_GB2312"/>
          <w:b w:val="0"/>
          <w:bCs w:val="0"/>
          <w:color w:val="000000" w:themeColor="text1"/>
          <w:sz w:val="28"/>
          <w:szCs w:val="28"/>
          <w14:textFill>
            <w14:solidFill>
              <w14:schemeClr w14:val="tx1"/>
            </w14:solidFill>
          </w14:textFill>
        </w:rPr>
        <w:t>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法学与</w:t>
      </w:r>
      <w:r>
        <w:rPr>
          <w:rFonts w:hint="eastAsia" w:ascii="仿宋_GB2312" w:hAnsi="仿宋_GB2312" w:eastAsia="仿宋_GB2312" w:cs="仿宋_GB2312"/>
          <w:b w:val="0"/>
          <w:bCs w:val="0"/>
          <w:color w:val="000000" w:themeColor="text1"/>
          <w:sz w:val="28"/>
          <w:szCs w:val="28"/>
          <w14:textFill>
            <w14:solidFill>
              <w14:schemeClr w14:val="tx1"/>
            </w14:solidFill>
          </w14:textFill>
        </w:rPr>
        <w:t>公共管理学院1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36</w:t>
      </w:r>
      <w:r>
        <w:rPr>
          <w:rFonts w:hint="eastAsia" w:ascii="仿宋_GB2312" w:hAnsi="仿宋_GB2312" w:eastAsia="仿宋_GB2312" w:cs="仿宋_GB2312"/>
          <w:b w:val="0"/>
          <w:bCs w:val="0"/>
          <w:color w:val="000000" w:themeColor="text1"/>
          <w:sz w:val="28"/>
          <w:szCs w:val="28"/>
          <w14:textFill>
            <w14:solidFill>
              <w14:schemeClr w14:val="tx1"/>
            </w14:solidFill>
          </w14:textFill>
        </w:rPr>
        <w:t>人、工程管理学院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261</w:t>
      </w:r>
      <w:r>
        <w:rPr>
          <w:rFonts w:hint="eastAsia" w:ascii="仿宋_GB2312" w:hAnsi="仿宋_GB2312" w:eastAsia="仿宋_GB2312" w:cs="仿宋_GB2312"/>
          <w:b w:val="0"/>
          <w:bCs w:val="0"/>
          <w:color w:val="000000" w:themeColor="text1"/>
          <w:sz w:val="28"/>
          <w:szCs w:val="28"/>
          <w14:textFill>
            <w14:solidFill>
              <w14:schemeClr w14:val="tx1"/>
            </w14:solidFill>
          </w14:textFill>
        </w:rPr>
        <w:t>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、经济学院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299人、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数学与统计学院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46人、人文与艺术学院92人、厚生国际教育学院112人</w:t>
      </w:r>
      <w:r>
        <w:rPr>
          <w:rFonts w:hint="eastAsia" w:ascii="仿宋_GB2312" w:hAnsi="仿宋_GB2312" w:eastAsia="仿宋_GB2312" w:cs="仿宋_GB2312"/>
          <w:b w:val="0"/>
          <w:bCs w:val="0"/>
          <w:color w:val="000000" w:themeColor="text1"/>
          <w:sz w:val="28"/>
          <w:szCs w:val="28"/>
          <w14:textFill>
            <w14:solidFill>
              <w14:schemeClr w14:val="tx1"/>
            </w14:solidFill>
          </w14:textFill>
        </w:rPr>
        <w:t>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w:t>
      </w:r>
      <w:r>
        <w:rPr>
          <w:rFonts w:hint="eastAsia" w:ascii="仿宋_GB2312" w:hAnsi="仿宋_GB2312" w:eastAsia="仿宋_GB2312" w:cs="仿宋_GB2312"/>
          <w:b w:val="0"/>
          <w:bCs w:val="0"/>
          <w:color w:val="000000" w:themeColor="text1"/>
          <w:sz w:val="28"/>
          <w:szCs w:val="28"/>
          <w14:textFill>
            <w14:solidFill>
              <w14:schemeClr w14:val="tx1"/>
            </w14:solidFill>
          </w14:textFill>
        </w:rPr>
        <w:t>个二级学院。具体情况见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图</w:t>
      </w:r>
      <w:r>
        <w:rPr>
          <w:rFonts w:hint="eastAsia" w:ascii="仿宋_GB2312" w:hAnsi="仿宋_GB2312" w:eastAsia="仿宋_GB2312" w:cs="仿宋_GB2312"/>
          <w:b w:val="0"/>
          <w:bCs w:val="0"/>
          <w:color w:val="000000" w:themeColor="text1"/>
          <w:sz w:val="28"/>
          <w:szCs w:val="28"/>
          <w14:textFill>
            <w14:solidFill>
              <w14:schemeClr w14:val="tx1"/>
            </w14:solidFill>
          </w14:textFill>
        </w:rPr>
        <w:t>1-1。</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图</w:t>
      </w:r>
      <w:r>
        <w:rPr>
          <w:rFonts w:hint="eastAsia" w:ascii="仿宋_GB2312" w:hAnsi="仿宋_GB2312" w:eastAsia="仿宋_GB2312" w:cs="仿宋_GB2312"/>
          <w:b/>
          <w:sz w:val="28"/>
          <w:szCs w:val="28"/>
        </w:rPr>
        <w:t>1-1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届毕业生院系人数分布</w:t>
      </w:r>
      <w:r>
        <w:rPr>
          <w:rFonts w:hint="eastAsia" w:ascii="仿宋_GB2312" w:hAnsi="仿宋_GB2312" w:eastAsia="仿宋_GB2312" w:cs="仿宋_GB2312"/>
          <w:b/>
          <w:sz w:val="28"/>
          <w:szCs w:val="28"/>
          <w:lang w:eastAsia="zh-CN"/>
        </w:rPr>
        <w:t>柱状图</w:t>
      </w:r>
    </w:p>
    <w:p>
      <w:pPr>
        <w:pStyle w:val="2"/>
        <w:ind w:left="0" w:leftChars="0" w:firstLine="0" w:firstLineChars="0"/>
        <w:rPr>
          <w:rFonts w:hint="eastAsia"/>
          <w:lang w:eastAsia="zh-CN"/>
        </w:rPr>
      </w:pPr>
      <w:r>
        <w:drawing>
          <wp:inline distT="0" distB="0" distL="114300" distR="114300">
            <wp:extent cx="5254625" cy="2761615"/>
            <wp:effectExtent l="0" t="0" r="3175"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0"/>
                    <a:stretch>
                      <a:fillRect/>
                    </a:stretch>
                  </pic:blipFill>
                  <pic:spPr>
                    <a:xfrm>
                      <a:off x="0" y="0"/>
                      <a:ext cx="5254625" cy="2761615"/>
                    </a:xfrm>
                    <a:prstGeom prst="rect">
                      <a:avLst/>
                    </a:prstGeom>
                    <a:noFill/>
                    <a:ln>
                      <a:noFill/>
                    </a:ln>
                  </pic:spPr>
                </pic:pic>
              </a:graphicData>
            </a:graphic>
          </wp:inline>
        </w:drawing>
      </w:r>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20" w:name="_Toc17935"/>
      <w:bookmarkStart w:id="21" w:name="_Toc8657"/>
      <w:bookmarkStart w:id="22" w:name="_Toc26174"/>
      <w:bookmarkStart w:id="23" w:name="_Toc12768"/>
      <w:bookmarkStart w:id="24" w:name="_Toc21041"/>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1.</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2</w:t>
      </w:r>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毕业生结构</w:t>
      </w:r>
    </w:p>
    <w:p>
      <w:pPr>
        <w:pStyle w:val="5"/>
        <w:spacing w:before="0" w:after="0" w:line="240" w:lineRule="auto"/>
        <w:outlineLvl w:val="2"/>
        <w:rPr>
          <w:rFonts w:ascii="仿宋_GB2312" w:eastAsia="仿宋_GB2312"/>
          <w:b w:val="0"/>
          <w:color w:val="00B0F0"/>
          <w:sz w:val="28"/>
          <w:szCs w:val="28"/>
          <w14:textFill>
            <w14:gradFill>
              <w14:gsLst>
                <w14:gs w14:pos="0">
                  <w14:srgbClr w14:val="007BD3"/>
                </w14:gs>
                <w14:gs w14:pos="100000">
                  <w14:srgbClr w14:val="034373"/>
                </w14:gs>
              </w14:gsLst>
              <w14:lin w14:scaled="0"/>
            </w14:gradFill>
          </w14:textFill>
        </w:rPr>
      </w:pP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1.</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2.</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1 毕业生性别比例</w:t>
      </w:r>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bookmarkStart w:id="25" w:name="_Toc437501603"/>
      <w:bookmarkStart w:id="26" w:name="_Toc437032028"/>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w:t>
      </w:r>
      <w:r>
        <w:rPr>
          <w:rFonts w:hint="eastAsia" w:ascii="仿宋_GB2312" w:hAnsi="仿宋_GB2312" w:eastAsia="仿宋_GB2312" w:cs="仿宋_GB2312"/>
          <w:b w:val="0"/>
          <w:bCs w:val="0"/>
          <w:color w:val="000000" w:themeColor="text1"/>
          <w:sz w:val="28"/>
          <w:szCs w:val="28"/>
          <w14:textFill>
            <w14:solidFill>
              <w14:schemeClr w14:val="tx1"/>
            </w14:solidFill>
          </w14:textFill>
        </w:rPr>
        <w:t>校20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届本科毕业生中共有男生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991</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人，占毕业生总人数的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28.04</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 %；女生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2543</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人，占毕业生总人数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71.99</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%。毕业生男女生人数</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比例</w:t>
      </w:r>
      <w:r>
        <w:rPr>
          <w:rFonts w:hint="eastAsia" w:ascii="仿宋_GB2312" w:hAnsi="仿宋_GB2312" w:eastAsia="仿宋_GB2312" w:cs="仿宋_GB2312"/>
          <w:b w:val="0"/>
          <w:bCs w:val="0"/>
          <w:color w:val="000000" w:themeColor="text1"/>
          <w:sz w:val="28"/>
          <w:szCs w:val="28"/>
          <w14:textFill>
            <w14:solidFill>
              <w14:schemeClr w14:val="tx1"/>
            </w14:solidFill>
          </w14:textFill>
        </w:rPr>
        <w:t>情况如图1-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所示。</w:t>
      </w:r>
    </w:p>
    <w:p>
      <w:pPr>
        <w:jc w:val="center"/>
        <w:rPr>
          <w:rFonts w:hint="eastAsia" w:ascii="仿宋_GB2312" w:eastAsia="仿宋_GB2312"/>
          <w:b/>
          <w:sz w:val="28"/>
          <w:szCs w:val="28"/>
        </w:rPr>
      </w:pPr>
    </w:p>
    <w:p>
      <w:pPr>
        <w:jc w:val="center"/>
        <w:rPr>
          <w:rFonts w:hint="eastAsia" w:ascii="仿宋_GB2312" w:eastAsia="仿宋_GB2312"/>
          <w:b/>
          <w:sz w:val="28"/>
          <w:szCs w:val="28"/>
        </w:rPr>
      </w:pPr>
      <w:r>
        <w:rPr>
          <w:rFonts w:hint="eastAsia" w:ascii="仿宋_GB2312" w:eastAsia="仿宋_GB2312"/>
          <w:b/>
          <w:sz w:val="28"/>
          <w:szCs w:val="28"/>
        </w:rPr>
        <w:t>图</w:t>
      </w:r>
      <w:r>
        <w:rPr>
          <w:rFonts w:ascii="仿宋_GB2312" w:eastAsia="仿宋_GB2312"/>
          <w:b/>
          <w:sz w:val="28"/>
          <w:szCs w:val="28"/>
        </w:rPr>
        <w:t>1-</w:t>
      </w:r>
      <w:r>
        <w:rPr>
          <w:rFonts w:hint="eastAsia" w:ascii="仿宋_GB2312" w:eastAsia="仿宋_GB2312"/>
          <w:b/>
          <w:sz w:val="28"/>
          <w:szCs w:val="28"/>
          <w:lang w:val="en-US" w:eastAsia="zh-CN"/>
        </w:rPr>
        <w:t>2</w:t>
      </w:r>
      <w:r>
        <w:rPr>
          <w:rFonts w:ascii="仿宋_GB2312" w:eastAsia="仿宋_GB2312"/>
          <w:b/>
          <w:sz w:val="28"/>
          <w:szCs w:val="28"/>
        </w:rPr>
        <w:t xml:space="preserve">  20</w:t>
      </w:r>
      <w:r>
        <w:rPr>
          <w:rFonts w:hint="eastAsia" w:ascii="仿宋_GB2312" w:eastAsia="仿宋_GB2312"/>
          <w:b/>
          <w:sz w:val="28"/>
          <w:szCs w:val="28"/>
          <w:lang w:val="en-US" w:eastAsia="zh-CN"/>
        </w:rPr>
        <w:t>21</w:t>
      </w:r>
      <w:r>
        <w:rPr>
          <w:rFonts w:hint="eastAsia" w:ascii="仿宋_GB2312" w:eastAsia="仿宋_GB2312"/>
          <w:b/>
          <w:sz w:val="28"/>
          <w:szCs w:val="28"/>
        </w:rPr>
        <w:t>届毕业生男女比例</w:t>
      </w:r>
      <w:r>
        <w:rPr>
          <w:rFonts w:hint="eastAsia" w:ascii="仿宋_GB2312" w:eastAsia="仿宋_GB2312"/>
          <w:b/>
          <w:sz w:val="28"/>
          <w:szCs w:val="28"/>
          <w:lang w:eastAsia="zh-CN"/>
        </w:rPr>
        <w:t>分配</w:t>
      </w:r>
      <w:r>
        <w:rPr>
          <w:rFonts w:hint="eastAsia" w:ascii="仿宋_GB2312" w:eastAsia="仿宋_GB2312"/>
          <w:b/>
          <w:sz w:val="28"/>
          <w:szCs w:val="28"/>
        </w:rPr>
        <w:t>图</w:t>
      </w:r>
    </w:p>
    <w:p>
      <w:pPr>
        <w:pStyle w:val="2"/>
        <w:ind w:left="0" w:leftChars="0" w:firstLine="0" w:firstLineChars="0"/>
      </w:pPr>
      <w:r>
        <w:drawing>
          <wp:inline distT="0" distB="0" distL="114300" distR="114300">
            <wp:extent cx="5333365" cy="2767330"/>
            <wp:effectExtent l="0" t="0" r="635" b="139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1"/>
                    <a:stretch>
                      <a:fillRect/>
                    </a:stretch>
                  </pic:blipFill>
                  <pic:spPr>
                    <a:xfrm>
                      <a:off x="0" y="0"/>
                      <a:ext cx="5333365" cy="2767330"/>
                    </a:xfrm>
                    <a:prstGeom prst="rect">
                      <a:avLst/>
                    </a:prstGeom>
                    <a:noFill/>
                    <a:ln>
                      <a:noFill/>
                    </a:ln>
                  </pic:spPr>
                </pic:pic>
              </a:graphicData>
            </a:graphic>
          </wp:inline>
        </w:drawing>
      </w:r>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27" w:name="_Toc437032030"/>
      <w:bookmarkStart w:id="28" w:name="_Toc437501605"/>
      <w:bookmarkStart w:id="29" w:name="_Toc25026"/>
      <w:bookmarkStart w:id="30" w:name="_Toc22882"/>
      <w:bookmarkStart w:id="31" w:name="_Toc7660"/>
      <w:bookmarkStart w:id="32" w:name="_Toc17300"/>
      <w:bookmarkStart w:id="33" w:name="_Toc4788"/>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1.2</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.2</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 xml:space="preserve"> 毕业生民族</w:t>
      </w:r>
      <w:bookmarkEnd w:id="27"/>
      <w:bookmarkEnd w:id="28"/>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分布</w:t>
      </w:r>
      <w:bookmarkEnd w:id="29"/>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我校20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届共有少数民族毕业生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297</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人，占毕业生总人数的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40</w:t>
      </w:r>
      <w:r>
        <w:rPr>
          <w:rFonts w:hint="eastAsia" w:ascii="仿宋_GB2312" w:hAnsi="仿宋_GB2312" w:eastAsia="仿宋_GB2312" w:cs="仿宋_GB2312"/>
          <w:b w:val="0"/>
          <w:bCs w:val="0"/>
          <w:color w:val="000000" w:themeColor="text1"/>
          <w:sz w:val="28"/>
          <w:szCs w:val="28"/>
          <w14:textFill>
            <w14:solidFill>
              <w14:schemeClr w14:val="tx1"/>
            </w14:solidFill>
          </w14:textFill>
        </w:rPr>
        <w:t>%。这些学生共来自于1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28"/>
          <w:szCs w:val="28"/>
          <w14:textFill>
            <w14:solidFill>
              <w14:schemeClr w14:val="tx1"/>
            </w14:solidFill>
          </w14:textFill>
        </w:rPr>
        <w:t>个少数民族，学生人数最多的5个少数民族分别是：土家族(</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116</w:t>
      </w:r>
      <w:r>
        <w:rPr>
          <w:rFonts w:hint="eastAsia" w:ascii="仿宋_GB2312" w:hAnsi="仿宋_GB2312" w:eastAsia="仿宋_GB2312" w:cs="仿宋_GB2312"/>
          <w:b w:val="0"/>
          <w:bCs w:val="0"/>
          <w:color w:val="000000" w:themeColor="text1"/>
          <w:sz w:val="28"/>
          <w:szCs w:val="28"/>
          <w14:textFill>
            <w14:solidFill>
              <w14:schemeClr w14:val="tx1"/>
            </w14:solidFill>
          </w14:textFill>
        </w:rPr>
        <w:t>人)、苗族（</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72</w:t>
      </w:r>
      <w:r>
        <w:rPr>
          <w:rFonts w:hint="eastAsia" w:ascii="仿宋_GB2312" w:hAnsi="仿宋_GB2312" w:eastAsia="仿宋_GB2312" w:cs="仿宋_GB2312"/>
          <w:b w:val="0"/>
          <w:bCs w:val="0"/>
          <w:color w:val="000000" w:themeColor="text1"/>
          <w:sz w:val="28"/>
          <w:szCs w:val="28"/>
          <w14:textFill>
            <w14:solidFill>
              <w14:schemeClr w14:val="tx1"/>
            </w14:solidFill>
          </w14:textFill>
        </w:rPr>
        <w:t>人）、瑶族(</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w:t>
      </w:r>
      <w:r>
        <w:rPr>
          <w:rFonts w:hint="eastAsia" w:ascii="仿宋_GB2312" w:hAnsi="仿宋_GB2312" w:eastAsia="仿宋_GB2312" w:cs="仿宋_GB2312"/>
          <w:b w:val="0"/>
          <w:bCs w:val="0"/>
          <w:color w:val="000000" w:themeColor="text1"/>
          <w:sz w:val="28"/>
          <w:szCs w:val="28"/>
          <w14:textFill>
            <w14:solidFill>
              <w14:schemeClr w14:val="tx1"/>
            </w14:solidFill>
          </w14:textFill>
        </w:rPr>
        <w:t>人)、侗族(</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w:t>
      </w:r>
      <w:r>
        <w:rPr>
          <w:rFonts w:hint="eastAsia" w:ascii="仿宋_GB2312" w:hAnsi="仿宋_GB2312" w:eastAsia="仿宋_GB2312" w:cs="仿宋_GB2312"/>
          <w:b w:val="0"/>
          <w:bCs w:val="0"/>
          <w:color w:val="000000" w:themeColor="text1"/>
          <w:sz w:val="28"/>
          <w:szCs w:val="28"/>
          <w14:textFill>
            <w14:solidFill>
              <w14:schemeClr w14:val="tx1"/>
            </w14:solidFill>
          </w14:textFill>
        </w:rPr>
        <w:t>人)、壮族(1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人)。具体情况见表1-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表1-</w:t>
      </w:r>
      <w:r>
        <w:rPr>
          <w:rFonts w:hint="eastAsia" w:ascii="仿宋_GB2312" w:hAnsi="仿宋_GB2312" w:eastAsia="仿宋_GB2312" w:cs="仿宋_GB2312"/>
          <w:b/>
          <w:sz w:val="28"/>
          <w:szCs w:val="28"/>
          <w:lang w:val="en-US" w:eastAsia="zh-CN"/>
        </w:rPr>
        <w:t>1</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届少数民族毕业生人数统计表</w:t>
      </w:r>
    </w:p>
    <w:tbl>
      <w:tblPr>
        <w:tblStyle w:val="19"/>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841"/>
        <w:gridCol w:w="1409"/>
        <w:gridCol w:w="953"/>
        <w:gridCol w:w="1865"/>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shd w:val="clear" w:color="auto" w:fill="5F497A" w:themeFill="accent4" w:themeFillShade="BF"/>
            <w:vAlign w:val="center"/>
          </w:tcPr>
          <w:p>
            <w:pPr>
              <w:spacing w:before="0" w:after="0" w:line="240" w:lineRule="auto"/>
              <w:jc w:val="center"/>
              <w:rPr>
                <w:rFonts w:ascii="黑体" w:hAnsi="黑体" w:eastAsia="黑体"/>
                <w:b/>
                <w:bCs/>
                <w:color w:val="FFFFFF"/>
                <w:sz w:val="24"/>
                <w:szCs w:val="24"/>
              </w:rPr>
            </w:pPr>
            <w:r>
              <w:rPr>
                <w:rFonts w:hint="eastAsia" w:ascii="黑体" w:hAnsi="黑体" w:eastAsia="黑体"/>
                <w:b/>
                <w:bCs/>
                <w:color w:val="FFFFFF"/>
                <w:sz w:val="24"/>
                <w:szCs w:val="24"/>
              </w:rPr>
              <w:t>序号</w:t>
            </w:r>
          </w:p>
        </w:tc>
        <w:tc>
          <w:tcPr>
            <w:tcW w:w="1841" w:type="dxa"/>
            <w:shd w:val="clear" w:color="auto" w:fill="5F497A" w:themeFill="accent4" w:themeFillShade="BF"/>
            <w:vAlign w:val="center"/>
          </w:tcPr>
          <w:p>
            <w:pPr>
              <w:spacing w:before="0" w:after="0" w:line="240" w:lineRule="auto"/>
              <w:jc w:val="center"/>
              <w:rPr>
                <w:rFonts w:ascii="黑体" w:hAnsi="黑体" w:eastAsia="黑体"/>
                <w:b/>
                <w:bCs/>
                <w:color w:val="FFFFFF"/>
                <w:sz w:val="24"/>
                <w:szCs w:val="24"/>
              </w:rPr>
            </w:pPr>
            <w:r>
              <w:rPr>
                <w:rFonts w:hint="eastAsia" w:ascii="黑体" w:hAnsi="黑体" w:eastAsia="黑体"/>
                <w:b/>
                <w:bCs/>
                <w:color w:val="FFFFFF"/>
                <w:sz w:val="24"/>
                <w:szCs w:val="24"/>
              </w:rPr>
              <w:t>民族</w:t>
            </w:r>
          </w:p>
        </w:tc>
        <w:tc>
          <w:tcPr>
            <w:tcW w:w="1409" w:type="dxa"/>
            <w:shd w:val="clear" w:color="auto" w:fill="5F497A" w:themeFill="accent4" w:themeFillShade="BF"/>
            <w:vAlign w:val="center"/>
          </w:tcPr>
          <w:p>
            <w:pPr>
              <w:spacing w:before="0" w:after="0" w:line="240" w:lineRule="auto"/>
              <w:jc w:val="center"/>
              <w:rPr>
                <w:rFonts w:ascii="黑体" w:hAnsi="黑体" w:eastAsia="黑体"/>
                <w:b/>
                <w:bCs/>
                <w:color w:val="FFFFFF"/>
                <w:sz w:val="24"/>
                <w:szCs w:val="24"/>
              </w:rPr>
            </w:pPr>
            <w:r>
              <w:rPr>
                <w:rFonts w:hint="eastAsia" w:ascii="黑体" w:hAnsi="黑体" w:eastAsia="黑体"/>
                <w:b/>
                <w:bCs/>
                <w:color w:val="FFFFFF"/>
                <w:sz w:val="24"/>
                <w:szCs w:val="24"/>
              </w:rPr>
              <w:t>人数</w:t>
            </w:r>
          </w:p>
        </w:tc>
        <w:tc>
          <w:tcPr>
            <w:tcW w:w="953" w:type="dxa"/>
            <w:shd w:val="clear" w:color="auto" w:fill="5F497A" w:themeFill="accent4" w:themeFillShade="BF"/>
            <w:vAlign w:val="center"/>
          </w:tcPr>
          <w:p>
            <w:pPr>
              <w:spacing w:before="0" w:after="0" w:line="240" w:lineRule="auto"/>
              <w:jc w:val="center"/>
              <w:rPr>
                <w:rFonts w:ascii="黑体" w:hAnsi="黑体" w:eastAsia="黑体" w:cs="Times New Roman"/>
                <w:b/>
                <w:bCs/>
                <w:color w:val="FFFFFF"/>
                <w:kern w:val="2"/>
                <w:sz w:val="24"/>
                <w:szCs w:val="24"/>
                <w:lang w:val="en-US" w:eastAsia="zh-CN" w:bidi="ar-SA"/>
              </w:rPr>
            </w:pPr>
            <w:r>
              <w:rPr>
                <w:rFonts w:hint="eastAsia" w:ascii="黑体" w:hAnsi="黑体" w:eastAsia="黑体"/>
                <w:b/>
                <w:bCs/>
                <w:color w:val="FFFFFF"/>
                <w:sz w:val="24"/>
                <w:szCs w:val="24"/>
              </w:rPr>
              <w:t>序号</w:t>
            </w:r>
          </w:p>
        </w:tc>
        <w:tc>
          <w:tcPr>
            <w:tcW w:w="1865" w:type="dxa"/>
            <w:shd w:val="clear" w:color="auto" w:fill="5F497A" w:themeFill="accent4" w:themeFillShade="BF"/>
            <w:vAlign w:val="center"/>
          </w:tcPr>
          <w:p>
            <w:pPr>
              <w:spacing w:before="0" w:after="0" w:line="240" w:lineRule="auto"/>
              <w:jc w:val="center"/>
              <w:rPr>
                <w:rFonts w:ascii="黑体" w:hAnsi="黑体" w:eastAsia="黑体" w:cs="Times New Roman"/>
                <w:b/>
                <w:bCs/>
                <w:color w:val="FFFFFF"/>
                <w:kern w:val="2"/>
                <w:sz w:val="24"/>
                <w:szCs w:val="24"/>
                <w:lang w:val="en-US" w:eastAsia="zh-CN" w:bidi="ar-SA"/>
              </w:rPr>
            </w:pPr>
            <w:r>
              <w:rPr>
                <w:rFonts w:hint="eastAsia" w:ascii="黑体" w:hAnsi="黑体" w:eastAsia="黑体"/>
                <w:b/>
                <w:bCs/>
                <w:color w:val="FFFFFF"/>
                <w:sz w:val="24"/>
                <w:szCs w:val="24"/>
              </w:rPr>
              <w:t>民族</w:t>
            </w:r>
          </w:p>
        </w:tc>
        <w:tc>
          <w:tcPr>
            <w:tcW w:w="1412" w:type="dxa"/>
            <w:shd w:val="clear" w:color="auto" w:fill="5F497A" w:themeFill="accent4" w:themeFillShade="BF"/>
            <w:vAlign w:val="center"/>
          </w:tcPr>
          <w:p>
            <w:pPr>
              <w:spacing w:before="0" w:after="0" w:line="240" w:lineRule="auto"/>
              <w:jc w:val="center"/>
              <w:rPr>
                <w:rFonts w:hint="eastAsia" w:ascii="黑体" w:hAnsi="黑体" w:eastAsia="黑体" w:cs="Times New Roman"/>
                <w:b/>
                <w:bCs/>
                <w:color w:val="FFFFFF"/>
                <w:kern w:val="2"/>
                <w:sz w:val="24"/>
                <w:szCs w:val="24"/>
                <w:lang w:val="en-US" w:eastAsia="zh-CN" w:bidi="ar-SA"/>
              </w:rPr>
            </w:pPr>
            <w:r>
              <w:rPr>
                <w:rFonts w:hint="eastAsia" w:ascii="黑体" w:hAnsi="黑体" w:eastAsia="黑体"/>
                <w:b/>
                <w:bCs/>
                <w:color w:val="FFFFFF"/>
                <w:sz w:val="24"/>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tcBorders>
              <w:insideH w:val="single" w:sz="8" w:space="0"/>
            </w:tcBorders>
            <w:shd w:val="clear" w:color="auto" w:fill="CCC1D9"/>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1</w:t>
            </w:r>
          </w:p>
        </w:tc>
        <w:tc>
          <w:tcPr>
            <w:tcW w:w="1841" w:type="dxa"/>
            <w:tcBorders>
              <w:insideH w:val="single" w:sz="8" w:space="0"/>
            </w:tcBorders>
            <w:shd w:val="clear" w:color="auto" w:fill="CCC1D9"/>
            <w:vAlign w:val="center"/>
          </w:tcPr>
          <w:p>
            <w:pPr>
              <w:jc w:val="center"/>
              <w:rPr>
                <w:rFonts w:ascii="仿宋_GB2312" w:eastAsia="仿宋_GB2312"/>
                <w:color w:val="000000"/>
                <w:sz w:val="24"/>
                <w:szCs w:val="24"/>
              </w:rPr>
            </w:pPr>
            <w:r>
              <w:rPr>
                <w:rFonts w:hint="eastAsia" w:ascii="仿宋_GB2312" w:eastAsia="仿宋_GB2312"/>
                <w:color w:val="000000"/>
                <w:sz w:val="24"/>
                <w:szCs w:val="24"/>
              </w:rPr>
              <w:t>汉族</w:t>
            </w:r>
          </w:p>
        </w:tc>
        <w:tc>
          <w:tcPr>
            <w:tcW w:w="1409"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3237</w:t>
            </w:r>
          </w:p>
        </w:tc>
        <w:tc>
          <w:tcPr>
            <w:tcW w:w="953" w:type="dxa"/>
            <w:tcBorders>
              <w:insideH w:val="single" w:sz="8" w:space="0"/>
            </w:tcBorders>
            <w:shd w:val="clear" w:color="auto" w:fill="CCC1D9"/>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ascii="仿宋_GB2312" w:eastAsia="仿宋_GB2312"/>
                <w:b w:val="0"/>
                <w:bCs w:val="0"/>
                <w:color w:val="000000"/>
                <w:sz w:val="24"/>
                <w:szCs w:val="24"/>
              </w:rPr>
              <w:t>9</w:t>
            </w:r>
          </w:p>
        </w:tc>
        <w:tc>
          <w:tcPr>
            <w:tcW w:w="1865" w:type="dxa"/>
            <w:tcBorders>
              <w:insideH w:val="single" w:sz="8" w:space="0"/>
            </w:tcBorders>
            <w:shd w:val="clear" w:color="auto" w:fill="CCC1D9"/>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rPr>
              <w:t>白族</w:t>
            </w:r>
          </w:p>
        </w:tc>
        <w:tc>
          <w:tcPr>
            <w:tcW w:w="1412"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shd w:val="clear" w:color="auto" w:fill="FFFFFF"/>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2</w:t>
            </w:r>
          </w:p>
        </w:tc>
        <w:tc>
          <w:tcPr>
            <w:tcW w:w="1841" w:type="dxa"/>
            <w:shd w:val="clear" w:color="auto" w:fill="FFFFFF"/>
            <w:vAlign w:val="center"/>
          </w:tcPr>
          <w:p>
            <w:pPr>
              <w:jc w:val="center"/>
              <w:rPr>
                <w:rFonts w:ascii="仿宋_GB2312" w:eastAsia="仿宋_GB2312"/>
                <w:color w:val="000000"/>
                <w:sz w:val="24"/>
                <w:szCs w:val="24"/>
              </w:rPr>
            </w:pPr>
            <w:r>
              <w:rPr>
                <w:rFonts w:hint="eastAsia" w:ascii="仿宋_GB2312" w:eastAsia="仿宋_GB2312"/>
                <w:color w:val="000000"/>
                <w:sz w:val="24"/>
                <w:szCs w:val="24"/>
              </w:rPr>
              <w:t>土家族</w:t>
            </w:r>
          </w:p>
        </w:tc>
        <w:tc>
          <w:tcPr>
            <w:tcW w:w="1409" w:type="dxa"/>
            <w:shd w:val="clear" w:color="auto" w:fill="FFFFFF"/>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116</w:t>
            </w:r>
          </w:p>
        </w:tc>
        <w:tc>
          <w:tcPr>
            <w:tcW w:w="953" w:type="dxa"/>
            <w:shd w:val="clear" w:color="auto" w:fill="FFFFFF"/>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ascii="仿宋_GB2312" w:eastAsia="仿宋_GB2312"/>
                <w:b w:val="0"/>
                <w:bCs w:val="0"/>
                <w:color w:val="000000"/>
                <w:sz w:val="24"/>
                <w:szCs w:val="24"/>
              </w:rPr>
              <w:t>1</w:t>
            </w:r>
            <w:r>
              <w:rPr>
                <w:rFonts w:hint="eastAsia" w:ascii="仿宋_GB2312" w:eastAsia="仿宋_GB2312"/>
                <w:b w:val="0"/>
                <w:bCs w:val="0"/>
                <w:color w:val="000000"/>
                <w:sz w:val="24"/>
                <w:szCs w:val="24"/>
                <w:lang w:val="en-US" w:eastAsia="zh-CN"/>
              </w:rPr>
              <w:t>0</w:t>
            </w:r>
          </w:p>
        </w:tc>
        <w:tc>
          <w:tcPr>
            <w:tcW w:w="1865"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rPr>
              <w:t>满族</w:t>
            </w:r>
          </w:p>
        </w:tc>
        <w:tc>
          <w:tcPr>
            <w:tcW w:w="1412" w:type="dxa"/>
            <w:shd w:val="clear" w:color="auto" w:fill="FFFFFF"/>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tcBorders>
              <w:insideH w:val="single" w:sz="8" w:space="0"/>
            </w:tcBorders>
            <w:shd w:val="clear" w:color="auto" w:fill="CCC1D9"/>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3</w:t>
            </w:r>
          </w:p>
        </w:tc>
        <w:tc>
          <w:tcPr>
            <w:tcW w:w="1841" w:type="dxa"/>
            <w:tcBorders>
              <w:insideH w:val="single" w:sz="8" w:space="0"/>
            </w:tcBorders>
            <w:shd w:val="clear" w:color="auto" w:fill="CCC1D9"/>
            <w:vAlign w:val="center"/>
          </w:tcPr>
          <w:p>
            <w:pPr>
              <w:jc w:val="center"/>
              <w:rPr>
                <w:rFonts w:ascii="仿宋_GB2312" w:eastAsia="仿宋_GB2312"/>
                <w:color w:val="000000"/>
                <w:sz w:val="24"/>
                <w:szCs w:val="24"/>
              </w:rPr>
            </w:pPr>
            <w:r>
              <w:rPr>
                <w:rFonts w:hint="eastAsia" w:ascii="仿宋_GB2312" w:eastAsia="仿宋_GB2312"/>
                <w:color w:val="000000"/>
                <w:sz w:val="24"/>
                <w:szCs w:val="24"/>
              </w:rPr>
              <w:t>苗族</w:t>
            </w:r>
          </w:p>
        </w:tc>
        <w:tc>
          <w:tcPr>
            <w:tcW w:w="1409"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72</w:t>
            </w:r>
          </w:p>
        </w:tc>
        <w:tc>
          <w:tcPr>
            <w:tcW w:w="953" w:type="dxa"/>
            <w:tcBorders>
              <w:insideH w:val="single" w:sz="8" w:space="0"/>
            </w:tcBorders>
            <w:shd w:val="clear" w:color="auto" w:fill="CCC1D9"/>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ascii="仿宋_GB2312" w:eastAsia="仿宋_GB2312"/>
                <w:b w:val="0"/>
                <w:bCs w:val="0"/>
                <w:color w:val="000000"/>
                <w:sz w:val="24"/>
                <w:szCs w:val="24"/>
              </w:rPr>
              <w:t>1</w:t>
            </w:r>
            <w:r>
              <w:rPr>
                <w:rFonts w:hint="eastAsia" w:ascii="仿宋_GB2312" w:eastAsia="仿宋_GB2312"/>
                <w:b w:val="0"/>
                <w:bCs w:val="0"/>
                <w:color w:val="000000"/>
                <w:sz w:val="24"/>
                <w:szCs w:val="24"/>
                <w:lang w:val="en-US" w:eastAsia="zh-CN"/>
              </w:rPr>
              <w:t>1</w:t>
            </w:r>
          </w:p>
        </w:tc>
        <w:tc>
          <w:tcPr>
            <w:tcW w:w="1865" w:type="dxa"/>
            <w:tcBorders>
              <w:insideH w:val="single" w:sz="8" w:space="0"/>
            </w:tcBorders>
            <w:shd w:val="clear" w:color="auto" w:fill="CCC1D9"/>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rPr>
              <w:t>蒙古族</w:t>
            </w:r>
          </w:p>
        </w:tc>
        <w:tc>
          <w:tcPr>
            <w:tcW w:w="1412"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shd w:val="clear" w:color="auto" w:fill="FFFFFF"/>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4</w:t>
            </w:r>
          </w:p>
        </w:tc>
        <w:tc>
          <w:tcPr>
            <w:tcW w:w="1841" w:type="dxa"/>
            <w:shd w:val="clear" w:color="auto" w:fill="FFFFFF"/>
            <w:vAlign w:val="center"/>
          </w:tcPr>
          <w:p>
            <w:pPr>
              <w:jc w:val="center"/>
              <w:rPr>
                <w:rFonts w:ascii="仿宋_GB2312" w:eastAsia="仿宋_GB2312"/>
                <w:color w:val="000000"/>
                <w:sz w:val="24"/>
                <w:szCs w:val="24"/>
              </w:rPr>
            </w:pPr>
            <w:r>
              <w:rPr>
                <w:rFonts w:hint="eastAsia" w:ascii="仿宋_GB2312" w:eastAsia="仿宋_GB2312"/>
                <w:color w:val="000000"/>
                <w:sz w:val="24"/>
                <w:szCs w:val="24"/>
              </w:rPr>
              <w:t>瑶族</w:t>
            </w:r>
          </w:p>
        </w:tc>
        <w:tc>
          <w:tcPr>
            <w:tcW w:w="1409" w:type="dxa"/>
            <w:shd w:val="clear" w:color="auto" w:fill="FFFFFF"/>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29</w:t>
            </w:r>
          </w:p>
        </w:tc>
        <w:tc>
          <w:tcPr>
            <w:tcW w:w="953" w:type="dxa"/>
            <w:shd w:val="clear" w:color="auto" w:fill="FFFFFF"/>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hint="eastAsia" w:ascii="仿宋_GB2312" w:eastAsia="仿宋_GB2312"/>
                <w:b w:val="0"/>
                <w:bCs w:val="0"/>
                <w:color w:val="000000"/>
                <w:sz w:val="24"/>
                <w:szCs w:val="24"/>
              </w:rPr>
              <w:t>1</w:t>
            </w:r>
            <w:r>
              <w:rPr>
                <w:rFonts w:hint="eastAsia" w:ascii="仿宋_GB2312" w:eastAsia="仿宋_GB2312"/>
                <w:b w:val="0"/>
                <w:bCs w:val="0"/>
                <w:color w:val="000000"/>
                <w:sz w:val="24"/>
                <w:szCs w:val="24"/>
                <w:lang w:val="en-US" w:eastAsia="zh-CN"/>
              </w:rPr>
              <w:t>2</w:t>
            </w:r>
          </w:p>
        </w:tc>
        <w:tc>
          <w:tcPr>
            <w:tcW w:w="1865"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rPr>
              <w:t>布依族</w:t>
            </w:r>
          </w:p>
        </w:tc>
        <w:tc>
          <w:tcPr>
            <w:tcW w:w="1412" w:type="dxa"/>
            <w:shd w:val="clear" w:color="auto" w:fill="FFFFFF"/>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tcBorders>
              <w:insideH w:val="single" w:sz="8" w:space="0"/>
            </w:tcBorders>
            <w:shd w:val="clear" w:color="auto" w:fill="CCC1D9"/>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5</w:t>
            </w:r>
          </w:p>
        </w:tc>
        <w:tc>
          <w:tcPr>
            <w:tcW w:w="1841" w:type="dxa"/>
            <w:tcBorders>
              <w:insideH w:val="single" w:sz="8" w:space="0"/>
            </w:tcBorders>
            <w:shd w:val="clear" w:color="auto" w:fill="CCC1D9"/>
            <w:vAlign w:val="center"/>
          </w:tcPr>
          <w:p>
            <w:pPr>
              <w:jc w:val="center"/>
              <w:rPr>
                <w:rFonts w:ascii="仿宋_GB2312" w:eastAsia="仿宋_GB2312"/>
                <w:color w:val="000000"/>
                <w:sz w:val="24"/>
                <w:szCs w:val="24"/>
              </w:rPr>
            </w:pPr>
            <w:r>
              <w:rPr>
                <w:rFonts w:hint="eastAsia" w:ascii="仿宋_GB2312" w:eastAsia="仿宋_GB2312"/>
                <w:color w:val="000000"/>
                <w:sz w:val="24"/>
                <w:szCs w:val="24"/>
              </w:rPr>
              <w:t>侗族</w:t>
            </w:r>
          </w:p>
        </w:tc>
        <w:tc>
          <w:tcPr>
            <w:tcW w:w="1409"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25</w:t>
            </w:r>
          </w:p>
        </w:tc>
        <w:tc>
          <w:tcPr>
            <w:tcW w:w="953" w:type="dxa"/>
            <w:tcBorders>
              <w:insideH w:val="single" w:sz="8" w:space="0"/>
            </w:tcBorders>
            <w:shd w:val="clear" w:color="auto" w:fill="CCC1D9"/>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hint="eastAsia" w:ascii="仿宋_GB2312" w:eastAsia="仿宋_GB2312"/>
                <w:b w:val="0"/>
                <w:bCs w:val="0"/>
                <w:color w:val="000000"/>
                <w:sz w:val="24"/>
                <w:szCs w:val="24"/>
              </w:rPr>
              <w:t>1</w:t>
            </w:r>
            <w:r>
              <w:rPr>
                <w:rFonts w:hint="eastAsia" w:ascii="仿宋_GB2312" w:eastAsia="仿宋_GB2312"/>
                <w:b w:val="0"/>
                <w:bCs w:val="0"/>
                <w:color w:val="000000"/>
                <w:sz w:val="24"/>
                <w:szCs w:val="24"/>
                <w:lang w:val="en-US" w:eastAsia="zh-CN"/>
              </w:rPr>
              <w:t>3</w:t>
            </w:r>
          </w:p>
        </w:tc>
        <w:tc>
          <w:tcPr>
            <w:tcW w:w="1865" w:type="dxa"/>
            <w:tcBorders>
              <w:insideH w:val="single" w:sz="8" w:space="0"/>
            </w:tcBorders>
            <w:shd w:val="clear" w:color="auto" w:fill="CCC1D9"/>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rPr>
              <w:t>黎族</w:t>
            </w:r>
          </w:p>
        </w:tc>
        <w:tc>
          <w:tcPr>
            <w:tcW w:w="1412"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shd w:val="clear" w:color="auto" w:fill="FFFFFF"/>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6</w:t>
            </w:r>
          </w:p>
        </w:tc>
        <w:tc>
          <w:tcPr>
            <w:tcW w:w="1841" w:type="dxa"/>
            <w:shd w:val="clear" w:color="auto" w:fill="FFFFFF"/>
            <w:vAlign w:val="center"/>
          </w:tcPr>
          <w:p>
            <w:pPr>
              <w:jc w:val="center"/>
              <w:rPr>
                <w:rFonts w:ascii="仿宋_GB2312" w:eastAsia="仿宋_GB2312"/>
                <w:color w:val="000000"/>
                <w:sz w:val="24"/>
                <w:szCs w:val="24"/>
              </w:rPr>
            </w:pPr>
            <w:r>
              <w:rPr>
                <w:rFonts w:hint="eastAsia" w:ascii="仿宋_GB2312" w:eastAsia="仿宋_GB2312"/>
                <w:color w:val="000000"/>
                <w:sz w:val="24"/>
                <w:szCs w:val="24"/>
              </w:rPr>
              <w:t>壮族</w:t>
            </w:r>
          </w:p>
        </w:tc>
        <w:tc>
          <w:tcPr>
            <w:tcW w:w="1409" w:type="dxa"/>
            <w:shd w:val="clear" w:color="auto" w:fill="FFFFFF"/>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13</w:t>
            </w:r>
          </w:p>
        </w:tc>
        <w:tc>
          <w:tcPr>
            <w:tcW w:w="953" w:type="dxa"/>
            <w:shd w:val="clear" w:color="auto" w:fill="FFFFFF"/>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hint="eastAsia" w:ascii="仿宋_GB2312" w:eastAsia="仿宋_GB2312"/>
                <w:b w:val="0"/>
                <w:bCs w:val="0"/>
                <w:color w:val="000000"/>
                <w:sz w:val="24"/>
                <w:szCs w:val="24"/>
                <w:lang w:val="en-US" w:eastAsia="zh-CN"/>
              </w:rPr>
              <w:t>14</w:t>
            </w:r>
          </w:p>
        </w:tc>
        <w:tc>
          <w:tcPr>
            <w:tcW w:w="1865"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lang w:eastAsia="zh-CN"/>
              </w:rPr>
              <w:t>藏</w:t>
            </w:r>
            <w:r>
              <w:rPr>
                <w:rFonts w:hint="eastAsia" w:ascii="仿宋_GB2312" w:eastAsia="仿宋_GB2312"/>
                <w:color w:val="000000"/>
                <w:sz w:val="24"/>
                <w:szCs w:val="24"/>
              </w:rPr>
              <w:t>族</w:t>
            </w:r>
          </w:p>
        </w:tc>
        <w:tc>
          <w:tcPr>
            <w:tcW w:w="1412"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7" w:type="dxa"/>
            <w:tcBorders>
              <w:insideH w:val="single" w:sz="8" w:space="0"/>
            </w:tcBorders>
            <w:shd w:val="clear" w:color="auto" w:fill="CCC1D9"/>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7</w:t>
            </w:r>
          </w:p>
        </w:tc>
        <w:tc>
          <w:tcPr>
            <w:tcW w:w="1841" w:type="dxa"/>
            <w:tcBorders>
              <w:insideH w:val="single" w:sz="8" w:space="0"/>
            </w:tcBorders>
            <w:shd w:val="clear" w:color="auto" w:fill="CCC1D9"/>
            <w:vAlign w:val="center"/>
          </w:tcPr>
          <w:p>
            <w:pPr>
              <w:jc w:val="center"/>
              <w:rPr>
                <w:rFonts w:ascii="仿宋_GB2312" w:eastAsia="仿宋_GB2312"/>
                <w:color w:val="000000"/>
                <w:sz w:val="24"/>
                <w:szCs w:val="24"/>
              </w:rPr>
            </w:pPr>
            <w:r>
              <w:rPr>
                <w:rFonts w:hint="eastAsia" w:ascii="仿宋_GB2312" w:eastAsia="仿宋_GB2312"/>
                <w:color w:val="000000"/>
                <w:sz w:val="24"/>
                <w:szCs w:val="24"/>
              </w:rPr>
              <w:t>回族</w:t>
            </w:r>
          </w:p>
        </w:tc>
        <w:tc>
          <w:tcPr>
            <w:tcW w:w="1409" w:type="dxa"/>
            <w:tcBorders>
              <w:insideH w:val="single" w:sz="8" w:space="0"/>
            </w:tcBorders>
            <w:shd w:val="clear" w:color="auto" w:fill="CCC1D9"/>
            <w:vAlign w:val="center"/>
          </w:tcPr>
          <w:p>
            <w:pPr>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12</w:t>
            </w:r>
          </w:p>
        </w:tc>
        <w:tc>
          <w:tcPr>
            <w:tcW w:w="953" w:type="dxa"/>
            <w:tcBorders>
              <w:insideH w:val="single" w:sz="8" w:space="0"/>
            </w:tcBorders>
            <w:shd w:val="clear" w:color="auto" w:fill="CCC1D9"/>
            <w:vAlign w:val="center"/>
          </w:tcPr>
          <w:p>
            <w:pPr>
              <w:jc w:val="center"/>
              <w:rPr>
                <w:rFonts w:hint="eastAsia" w:ascii="仿宋_GB2312" w:hAnsi="Calibri" w:eastAsia="仿宋_GB2312" w:cs="Times New Roman"/>
                <w:b w:val="0"/>
                <w:bCs w:val="0"/>
                <w:color w:val="000000"/>
                <w:kern w:val="2"/>
                <w:sz w:val="24"/>
                <w:szCs w:val="24"/>
                <w:lang w:val="en-US" w:eastAsia="zh-CN" w:bidi="ar-SA"/>
              </w:rPr>
            </w:pPr>
            <w:r>
              <w:rPr>
                <w:rFonts w:hint="eastAsia" w:ascii="仿宋_GB2312" w:eastAsia="仿宋_GB2312"/>
                <w:b w:val="0"/>
                <w:bCs w:val="0"/>
                <w:color w:val="000000"/>
                <w:sz w:val="24"/>
                <w:szCs w:val="24"/>
                <w:lang w:val="en-US" w:eastAsia="zh-CN"/>
              </w:rPr>
              <w:t>15</w:t>
            </w:r>
          </w:p>
        </w:tc>
        <w:tc>
          <w:tcPr>
            <w:tcW w:w="1865" w:type="dxa"/>
            <w:tcBorders>
              <w:insideH w:val="single" w:sz="8" w:space="0"/>
            </w:tcBorders>
            <w:shd w:val="clear" w:color="auto" w:fill="CCC1D9"/>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lang w:val="en-US" w:eastAsia="zh-CN"/>
              </w:rPr>
              <w:t>佤族</w:t>
            </w:r>
          </w:p>
        </w:tc>
        <w:tc>
          <w:tcPr>
            <w:tcW w:w="1412" w:type="dxa"/>
            <w:tcBorders>
              <w:insideH w:val="single" w:sz="8" w:space="0"/>
            </w:tcBorders>
            <w:shd w:val="clear" w:color="auto" w:fill="CCC1D9"/>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77" w:type="dxa"/>
            <w:shd w:val="clear" w:color="auto" w:fill="FFFFFF"/>
            <w:vAlign w:val="center"/>
          </w:tcPr>
          <w:p>
            <w:pPr>
              <w:jc w:val="center"/>
              <w:rPr>
                <w:rFonts w:ascii="仿宋_GB2312" w:eastAsia="仿宋_GB2312"/>
                <w:b w:val="0"/>
                <w:bCs w:val="0"/>
                <w:color w:val="000000"/>
                <w:sz w:val="24"/>
                <w:szCs w:val="24"/>
              </w:rPr>
            </w:pPr>
            <w:r>
              <w:rPr>
                <w:rFonts w:ascii="仿宋_GB2312" w:eastAsia="仿宋_GB2312"/>
                <w:b w:val="0"/>
                <w:bCs w:val="0"/>
                <w:color w:val="000000"/>
                <w:sz w:val="24"/>
                <w:szCs w:val="24"/>
              </w:rPr>
              <w:t>8</w:t>
            </w:r>
          </w:p>
        </w:tc>
        <w:tc>
          <w:tcPr>
            <w:tcW w:w="1841"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lang w:eastAsia="zh-CN"/>
              </w:rPr>
              <w:t>其他</w:t>
            </w:r>
          </w:p>
        </w:tc>
        <w:tc>
          <w:tcPr>
            <w:tcW w:w="1409"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r>
              <w:rPr>
                <w:rFonts w:hint="eastAsia" w:ascii="仿宋_GB2312" w:eastAsia="仿宋_GB2312"/>
                <w:color w:val="000000"/>
                <w:sz w:val="24"/>
                <w:szCs w:val="24"/>
                <w:lang w:val="en-US" w:eastAsia="zh-CN"/>
              </w:rPr>
              <w:t>2</w:t>
            </w:r>
          </w:p>
        </w:tc>
        <w:tc>
          <w:tcPr>
            <w:tcW w:w="953"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p>
        </w:tc>
        <w:tc>
          <w:tcPr>
            <w:tcW w:w="1865" w:type="dxa"/>
            <w:shd w:val="clear" w:color="auto" w:fill="FFFFFF"/>
            <w:vAlign w:val="center"/>
          </w:tcPr>
          <w:p>
            <w:pPr>
              <w:jc w:val="center"/>
              <w:rPr>
                <w:rFonts w:hint="eastAsia" w:ascii="仿宋_GB2312" w:hAnsi="Calibri" w:eastAsia="仿宋_GB2312" w:cs="Times New Roman"/>
                <w:color w:val="000000"/>
                <w:kern w:val="2"/>
                <w:sz w:val="24"/>
                <w:szCs w:val="24"/>
                <w:lang w:val="en-US" w:eastAsia="zh-CN" w:bidi="ar-SA"/>
              </w:rPr>
            </w:pPr>
          </w:p>
        </w:tc>
        <w:tc>
          <w:tcPr>
            <w:tcW w:w="1412" w:type="dxa"/>
            <w:shd w:val="clear" w:color="auto" w:fill="FFFFFF"/>
            <w:vAlign w:val="center"/>
          </w:tcPr>
          <w:p>
            <w:pPr>
              <w:jc w:val="center"/>
              <w:rPr>
                <w:rFonts w:hint="eastAsia" w:ascii="仿宋_GB2312" w:eastAsia="仿宋_GB2312"/>
                <w:color w:val="000000"/>
                <w:sz w:val="24"/>
                <w:szCs w:val="24"/>
                <w:lang w:val="en-US" w:eastAsia="zh-CN"/>
              </w:rPr>
            </w:pPr>
          </w:p>
        </w:tc>
      </w:tr>
    </w:tbl>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34" w:name="_Toc3822"/>
      <w:bookmarkStart w:id="35" w:name="_Toc27181"/>
      <w:bookmarkStart w:id="36" w:name="_Toc9615"/>
      <w:bookmarkStart w:id="37" w:name="_Toc18343"/>
      <w:bookmarkStart w:id="38" w:name="_Toc30633"/>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1.</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2.</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3 毕业生生源</w:t>
      </w:r>
      <w:bookmarkEnd w:id="25"/>
      <w:bookmarkEnd w:id="26"/>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地区分布</w:t>
      </w:r>
      <w:bookmarkEnd w:id="34"/>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届毕业生生源来自2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28"/>
          <w:szCs w:val="28"/>
          <w14:textFill>
            <w14:solidFill>
              <w14:schemeClr w14:val="tx1"/>
            </w14:solidFill>
          </w14:textFill>
        </w:rPr>
        <w:t>个省(市、自治区)，其中，湖南</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地区</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生源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2851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人，占毕业生生源总人数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80.67</w:t>
      </w:r>
      <w:r>
        <w:rPr>
          <w:rFonts w:hint="eastAsia" w:ascii="仿宋_GB2312" w:hAnsi="仿宋_GB2312" w:eastAsia="仿宋_GB2312" w:cs="仿宋_GB2312"/>
          <w:b w:val="0"/>
          <w:bCs w:val="0"/>
          <w:color w:val="000000" w:themeColor="text1"/>
          <w:sz w:val="28"/>
          <w:szCs w:val="28"/>
          <w14:textFill>
            <w14:solidFill>
              <w14:schemeClr w14:val="tx1"/>
            </w14:solidFill>
          </w14:textFill>
        </w:rPr>
        <w:t>%，除</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北京市、天津市、上海和内蒙古</w:t>
      </w:r>
      <w:r>
        <w:rPr>
          <w:rFonts w:hint="eastAsia" w:ascii="仿宋_GB2312" w:hAnsi="仿宋_GB2312" w:eastAsia="仿宋_GB2312" w:cs="仿宋_GB2312"/>
          <w:b w:val="0"/>
          <w:bCs w:val="0"/>
          <w:color w:val="000000" w:themeColor="text1"/>
          <w:sz w:val="28"/>
          <w:szCs w:val="28"/>
          <w14:textFill>
            <w14:solidFill>
              <w14:schemeClr w14:val="tx1"/>
            </w14:solidFill>
          </w14:textFill>
        </w:rPr>
        <w:t>外，其他省市生源人数基本相当</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具体情况详见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表</w:t>
      </w:r>
      <w:r>
        <w:rPr>
          <w:rFonts w:hint="eastAsia" w:ascii="仿宋_GB2312" w:hAnsi="仿宋_GB2312" w:eastAsia="仿宋_GB2312" w:cs="仿宋_GB2312"/>
          <w:b w:val="0"/>
          <w:bCs w:val="0"/>
          <w:color w:val="000000" w:themeColor="text1"/>
          <w:sz w:val="28"/>
          <w:szCs w:val="28"/>
          <w14:textFill>
            <w14:solidFill>
              <w14:schemeClr w14:val="tx1"/>
            </w14:solidFill>
          </w14:textFill>
        </w:rPr>
        <w:t>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表</w:t>
      </w:r>
      <w:r>
        <w:rPr>
          <w:rFonts w:hint="eastAsia" w:ascii="仿宋_GB2312" w:hAnsi="仿宋_GB2312" w:eastAsia="仿宋_GB2312" w:cs="仿宋_GB2312"/>
          <w:b/>
          <w:sz w:val="28"/>
          <w:szCs w:val="28"/>
        </w:rPr>
        <w:t>1-</w:t>
      </w:r>
      <w:r>
        <w:rPr>
          <w:rFonts w:hint="eastAsia" w:ascii="仿宋_GB2312" w:hAnsi="仿宋_GB2312" w:eastAsia="仿宋_GB2312" w:cs="仿宋_GB2312"/>
          <w:b/>
          <w:sz w:val="28"/>
          <w:szCs w:val="28"/>
          <w:lang w:val="en-US" w:eastAsia="zh-CN"/>
        </w:rPr>
        <w:t xml:space="preserve">2 </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届毕业生生源人数分布</w:t>
      </w:r>
      <w:r>
        <w:rPr>
          <w:rFonts w:hint="eastAsia" w:ascii="仿宋_GB2312" w:hAnsi="仿宋_GB2312" w:eastAsia="仿宋_GB2312" w:cs="仿宋_GB2312"/>
          <w:b/>
          <w:sz w:val="28"/>
          <w:szCs w:val="28"/>
          <w:lang w:eastAsia="zh-CN"/>
        </w:rPr>
        <w:t>统计表</w:t>
      </w:r>
    </w:p>
    <w:tbl>
      <w:tblPr>
        <w:tblStyle w:val="17"/>
        <w:tblW w:w="82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532"/>
        <w:gridCol w:w="1525"/>
        <w:gridCol w:w="1112"/>
        <w:gridCol w:w="1613"/>
        <w:gridCol w:w="1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080" w:type="dxa"/>
            <w:tcBorders>
              <w:top w:val="single" w:color="00349E" w:sz="4" w:space="0"/>
              <w:left w:val="single" w:color="00349E" w:sz="4" w:space="0"/>
              <w:bottom w:val="single" w:color="00349E" w:sz="8" w:space="0"/>
              <w:right w:val="single" w:color="00349E"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532" w:type="dxa"/>
            <w:tcBorders>
              <w:top w:val="single" w:color="00349E" w:sz="4" w:space="0"/>
              <w:left w:val="nil"/>
              <w:bottom w:val="single" w:color="00349E" w:sz="8" w:space="0"/>
              <w:right w:val="single" w:color="00349E"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生源地</w:t>
            </w:r>
          </w:p>
        </w:tc>
        <w:tc>
          <w:tcPr>
            <w:tcW w:w="1525" w:type="dxa"/>
            <w:tcBorders>
              <w:top w:val="single" w:color="00349E" w:sz="4" w:space="0"/>
              <w:left w:val="nil"/>
              <w:bottom w:val="single" w:color="00349E" w:sz="8" w:space="0"/>
              <w:right w:val="single" w:color="00349E"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生源人数</w:t>
            </w:r>
          </w:p>
        </w:tc>
        <w:tc>
          <w:tcPr>
            <w:tcW w:w="1112" w:type="dxa"/>
            <w:tcBorders>
              <w:top w:val="single" w:color="00349E" w:sz="4" w:space="0"/>
              <w:left w:val="nil"/>
              <w:bottom w:val="single" w:color="00349E" w:sz="8" w:space="0"/>
              <w:right w:val="single" w:color="00349E"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13" w:type="dxa"/>
            <w:tcBorders>
              <w:top w:val="single" w:color="00349E" w:sz="4" w:space="0"/>
              <w:left w:val="nil"/>
              <w:bottom w:val="single" w:color="00349E" w:sz="8" w:space="0"/>
              <w:right w:val="single" w:color="00349E"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生源地</w:t>
            </w:r>
          </w:p>
        </w:tc>
        <w:tc>
          <w:tcPr>
            <w:tcW w:w="1437" w:type="dxa"/>
            <w:tcBorders>
              <w:top w:val="single" w:color="00349E" w:sz="4" w:space="0"/>
              <w:left w:val="nil"/>
              <w:bottom w:val="single" w:color="00349E" w:sz="8" w:space="0"/>
              <w:right w:val="single" w:color="00349E"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生源人数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湖南省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2851</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吉林省</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湖北省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重庆市</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陕西省</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广东省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安徽省</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广西</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宁夏</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黑龙江省</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江西省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辽宁省</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四川省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山西省</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青海省</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贵州省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甘肃省</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江苏省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内蒙古</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海南省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上海市</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山东省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11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613"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天津市</w:t>
            </w:r>
          </w:p>
        </w:tc>
        <w:tc>
          <w:tcPr>
            <w:tcW w:w="1437"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53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福建省</w:t>
            </w:r>
          </w:p>
        </w:tc>
        <w:tc>
          <w:tcPr>
            <w:tcW w:w="1525"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112"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613"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北京市</w:t>
            </w:r>
          </w:p>
        </w:tc>
        <w:tc>
          <w:tcPr>
            <w:tcW w:w="1437" w:type="dxa"/>
            <w:tcBorders>
              <w:top w:val="nil"/>
              <w:left w:val="nil"/>
              <w:bottom w:val="single" w:color="00349E" w:sz="4" w:space="0"/>
              <w:right w:val="single" w:color="00349E"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080" w:type="dxa"/>
            <w:tcBorders>
              <w:top w:val="nil"/>
              <w:left w:val="single" w:color="00349E" w:sz="4" w:space="0"/>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532"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w:t>
            </w:r>
          </w:p>
        </w:tc>
        <w:tc>
          <w:tcPr>
            <w:tcW w:w="1525" w:type="dxa"/>
            <w:tcBorders>
              <w:top w:val="nil"/>
              <w:left w:val="nil"/>
              <w:bottom w:val="single" w:color="00349E" w:sz="4" w:space="0"/>
              <w:right w:val="single" w:color="00349E" w:sz="4" w:space="0"/>
            </w:tcBorders>
            <w:shd w:val="clear" w:color="B7CFFF" w:fill="B7C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112" w:type="dxa"/>
            <w:tcBorders>
              <w:top w:val="nil"/>
              <w:left w:val="nil"/>
              <w:bottom w:val="single" w:color="00349E" w:sz="4" w:space="0"/>
              <w:right w:val="single" w:color="00349E" w:sz="4" w:space="0"/>
            </w:tcBorders>
            <w:shd w:val="clear" w:color="B7CFFF" w:fill="B7CFFF"/>
            <w:noWrap/>
            <w:vAlign w:val="center"/>
          </w:tcPr>
          <w:p>
            <w:pPr>
              <w:jc w:val="center"/>
              <w:rPr>
                <w:rFonts w:hint="eastAsia" w:ascii="宋体" w:hAnsi="宋体" w:eastAsia="宋体" w:cs="宋体"/>
                <w:i w:val="0"/>
                <w:iCs w:val="0"/>
                <w:color w:val="000000"/>
                <w:sz w:val="24"/>
                <w:szCs w:val="24"/>
                <w:u w:val="none"/>
              </w:rPr>
            </w:pPr>
          </w:p>
        </w:tc>
        <w:tc>
          <w:tcPr>
            <w:tcW w:w="1613" w:type="dxa"/>
            <w:tcBorders>
              <w:top w:val="nil"/>
              <w:left w:val="nil"/>
              <w:bottom w:val="single" w:color="00349E" w:sz="4" w:space="0"/>
              <w:right w:val="single" w:color="00349E" w:sz="4" w:space="0"/>
            </w:tcBorders>
            <w:shd w:val="clear" w:color="B7CFFF" w:fill="B7CFFF"/>
            <w:noWrap/>
            <w:vAlign w:val="center"/>
          </w:tcPr>
          <w:p>
            <w:pPr>
              <w:jc w:val="center"/>
              <w:rPr>
                <w:rFonts w:hint="eastAsia" w:ascii="宋体" w:hAnsi="宋体" w:eastAsia="宋体" w:cs="宋体"/>
                <w:i w:val="0"/>
                <w:iCs w:val="0"/>
                <w:color w:val="000000"/>
                <w:sz w:val="24"/>
                <w:szCs w:val="24"/>
                <w:u w:val="none"/>
              </w:rPr>
            </w:pPr>
          </w:p>
        </w:tc>
        <w:tc>
          <w:tcPr>
            <w:tcW w:w="1437" w:type="dxa"/>
            <w:tcBorders>
              <w:top w:val="nil"/>
              <w:left w:val="nil"/>
              <w:bottom w:val="single" w:color="00349E" w:sz="4" w:space="0"/>
              <w:right w:val="single" w:color="00349E" w:sz="4" w:space="0"/>
            </w:tcBorders>
            <w:shd w:val="clear" w:color="B7CFFF" w:fill="B7CFFF"/>
            <w:noWrap/>
            <w:vAlign w:val="center"/>
          </w:tcPr>
          <w:p>
            <w:pPr>
              <w:jc w:val="center"/>
              <w:rPr>
                <w:rFonts w:hint="eastAsia" w:ascii="宋体" w:hAnsi="宋体" w:eastAsia="宋体" w:cs="宋体"/>
                <w:i w:val="0"/>
                <w:iCs w:val="0"/>
                <w:color w:val="000000"/>
                <w:sz w:val="24"/>
                <w:szCs w:val="24"/>
                <w:u w:val="none"/>
              </w:rPr>
            </w:pPr>
          </w:p>
        </w:tc>
      </w:tr>
    </w:tbl>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39" w:name="_Toc29627"/>
      <w:bookmarkStart w:id="40" w:name="_Toc5617"/>
      <w:bookmarkStart w:id="41" w:name="_Toc15049"/>
      <w:bookmarkStart w:id="42" w:name="_Toc14013"/>
      <w:bookmarkStart w:id="43" w:name="_Toc437032031"/>
      <w:bookmarkStart w:id="44" w:name="_Toc437501606"/>
      <w:bookmarkStart w:id="45" w:name="_Toc19777"/>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1.</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2.</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4 毕业生学科专业结构</w:t>
      </w:r>
      <w:bookmarkEnd w:id="39"/>
      <w:bookmarkEnd w:id="40"/>
      <w:bookmarkEnd w:id="41"/>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我校20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届毕业生来自会计学、财务管理、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审计、</w:t>
      </w:r>
      <w:r>
        <w:rPr>
          <w:rFonts w:hint="eastAsia" w:ascii="仿宋_GB2312" w:hAnsi="仿宋_GB2312" w:eastAsia="仿宋_GB2312" w:cs="仿宋_GB2312"/>
          <w:b w:val="0"/>
          <w:bCs w:val="0"/>
          <w:color w:val="000000" w:themeColor="text1"/>
          <w:sz w:val="28"/>
          <w:szCs w:val="28"/>
          <w14:textFill>
            <w14:solidFill>
              <w14:schemeClr w14:val="tx1"/>
            </w14:solidFill>
          </w14:textFill>
        </w:rPr>
        <w:t>财政学、金融学、</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投资学、</w:t>
      </w:r>
      <w:r>
        <w:rPr>
          <w:rFonts w:hint="eastAsia" w:ascii="仿宋_GB2312" w:hAnsi="仿宋_GB2312" w:eastAsia="仿宋_GB2312" w:cs="仿宋_GB2312"/>
          <w:b w:val="0"/>
          <w:bCs w:val="0"/>
          <w:color w:val="000000" w:themeColor="text1"/>
          <w:sz w:val="28"/>
          <w:szCs w:val="28"/>
          <w14:textFill>
            <w14:solidFill>
              <w14:schemeClr w14:val="tx1"/>
            </w14:solidFill>
          </w14:textFill>
        </w:rPr>
        <w:t>税收学、国际经济与贸易、</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商务经济学、国际商务</w:t>
      </w:r>
      <w:r>
        <w:rPr>
          <w:rFonts w:hint="eastAsia" w:ascii="仿宋_GB2312" w:hAnsi="仿宋_GB2312" w:eastAsia="仿宋_GB2312" w:cs="仿宋_GB2312"/>
          <w:b w:val="0"/>
          <w:bCs w:val="0"/>
          <w:color w:val="000000" w:themeColor="text1"/>
          <w:sz w:val="28"/>
          <w:szCs w:val="28"/>
          <w14:textFill>
            <w14:solidFill>
              <w14:schemeClr w14:val="tx1"/>
            </w14:solidFill>
          </w14:textFill>
        </w:rPr>
        <w:t>、市场营销、</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物流管理、</w:t>
      </w:r>
      <w:r>
        <w:rPr>
          <w:rFonts w:hint="eastAsia" w:ascii="仿宋_GB2312" w:hAnsi="仿宋_GB2312" w:eastAsia="仿宋_GB2312" w:cs="仿宋_GB2312"/>
          <w:b w:val="0"/>
          <w:bCs w:val="0"/>
          <w:color w:val="000000" w:themeColor="text1"/>
          <w:sz w:val="28"/>
          <w:szCs w:val="28"/>
          <w14:textFill>
            <w14:solidFill>
              <w14:schemeClr w14:val="tx1"/>
            </w14:solidFill>
          </w14:textFill>
        </w:rPr>
        <w:t>人力资源管理、信息管理与信息系统、计算机科学与技术、电子商务、电子信息工程、英语、</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商务英语、</w:t>
      </w:r>
      <w:r>
        <w:rPr>
          <w:rFonts w:hint="eastAsia" w:ascii="仿宋_GB2312" w:hAnsi="仿宋_GB2312" w:eastAsia="仿宋_GB2312" w:cs="仿宋_GB2312"/>
          <w:b w:val="0"/>
          <w:bCs w:val="0"/>
          <w:color w:val="000000" w:themeColor="text1"/>
          <w:sz w:val="28"/>
          <w:szCs w:val="28"/>
          <w14:textFill>
            <w14:solidFill>
              <w14:schemeClr w14:val="tx1"/>
            </w14:solidFill>
          </w14:textFill>
        </w:rPr>
        <w:t>翻译、日语、房地产开发与管理、工程管理、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工程造价、</w:t>
      </w:r>
      <w:r>
        <w:rPr>
          <w:rFonts w:hint="eastAsia" w:ascii="仿宋_GB2312" w:hAnsi="仿宋_GB2312" w:eastAsia="仿宋_GB2312" w:cs="仿宋_GB2312"/>
          <w:b w:val="0"/>
          <w:bCs w:val="0"/>
          <w:color w:val="000000" w:themeColor="text1"/>
          <w:sz w:val="28"/>
          <w:szCs w:val="28"/>
          <w14:textFill>
            <w14:solidFill>
              <w14:schemeClr w14:val="tx1"/>
            </w14:solidFill>
          </w14:textFill>
        </w:rPr>
        <w:t>土地资源管理、行政管理、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劳动社会保障、网络与新媒体、金融数学</w:t>
      </w:r>
      <w:r>
        <w:rPr>
          <w:rFonts w:hint="eastAsia" w:ascii="仿宋_GB2312" w:hAnsi="仿宋_GB2312" w:eastAsia="仿宋_GB2312" w:cs="仿宋_GB2312"/>
          <w:b w:val="0"/>
          <w:bCs w:val="0"/>
          <w:color w:val="000000" w:themeColor="text1"/>
          <w:sz w:val="28"/>
          <w:szCs w:val="28"/>
          <w14:textFill>
            <w14:solidFill>
              <w14:schemeClr w14:val="tx1"/>
            </w14:solidFill>
          </w14:textFill>
        </w:rPr>
        <w:t>等 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28"/>
          <w:szCs w:val="28"/>
          <w14:textFill>
            <w14:solidFill>
              <w14:schemeClr w14:val="tx1"/>
            </w14:solidFill>
          </w14:textFill>
        </w:rPr>
        <w:t>个学科专业门类，从总体上看，毕业生人数较多的专业集中在会计学（</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25.10</w:t>
      </w:r>
      <w:r>
        <w:rPr>
          <w:rFonts w:hint="eastAsia" w:ascii="仿宋_GB2312" w:hAnsi="仿宋_GB2312" w:eastAsia="仿宋_GB2312" w:cs="仿宋_GB2312"/>
          <w:b w:val="0"/>
          <w:bCs w:val="0"/>
          <w:color w:val="000000" w:themeColor="text1"/>
          <w:sz w:val="28"/>
          <w:szCs w:val="28"/>
          <w14:textFill>
            <w14:solidFill>
              <w14:schemeClr w14:val="tx1"/>
            </w14:solidFill>
          </w14:textFill>
        </w:rPr>
        <w:t>%）、金融学（1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07</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国际经济与贸易</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89</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市场营销</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4.84</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、计算机科学与技术（</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4.79%</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）、财务管理</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58</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工程造价（</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3.85%</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）、电子商务（</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3.57%</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）、商务英语（</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3.23%</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，毕业生对应学科专业具体情况见表 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表1-</w:t>
      </w:r>
      <w:r>
        <w:rPr>
          <w:rFonts w:hint="eastAsia" w:ascii="仿宋_GB2312" w:hAnsi="仿宋_GB2312" w:eastAsia="仿宋_GB2312" w:cs="仿宋_GB2312"/>
          <w:b/>
          <w:sz w:val="28"/>
          <w:szCs w:val="28"/>
          <w:lang w:val="en-US" w:eastAsia="zh-CN"/>
        </w:rPr>
        <w:t>3</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届毕业生对应学科专业人数统计表</w:t>
      </w:r>
    </w:p>
    <w:tbl>
      <w:tblPr>
        <w:tblStyle w:val="17"/>
        <w:tblW w:w="82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2"/>
        <w:gridCol w:w="1838"/>
        <w:gridCol w:w="2762"/>
        <w:gridCol w:w="1401"/>
        <w:gridCol w:w="1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blHeader/>
        </w:trPr>
        <w:tc>
          <w:tcPr>
            <w:tcW w:w="722" w:type="dxa"/>
            <w:tcBorders>
              <w:top w:val="single" w:color="000000" w:sz="4" w:space="0"/>
              <w:left w:val="single" w:color="000000" w:sz="4" w:space="0"/>
              <w:bottom w:val="single" w:color="000000" w:sz="4" w:space="0"/>
              <w:right w:val="single" w:color="000000" w:sz="4" w:space="0"/>
            </w:tcBorders>
            <w:shd w:val="clear" w:color="8064A2" w:fill="00B050"/>
            <w:vAlign w:val="center"/>
          </w:tcPr>
          <w:p>
            <w:pPr>
              <w:keepNext w:val="0"/>
              <w:keepLines w:val="0"/>
              <w:widowControl/>
              <w:suppressLineNumbers w:val="0"/>
              <w:jc w:val="center"/>
              <w:textAlignment w:val="center"/>
              <w:rPr>
                <w:rFonts w:hint="eastAsia" w:ascii="宋体" w:hAnsi="宋体" w:eastAsia="宋体" w:cs="宋体"/>
                <w:b/>
                <w:bCs/>
                <w:i w:val="0"/>
                <w:iCs w:val="0"/>
                <w:color w:val="FFFFFF" w:themeColor="background1"/>
                <w:sz w:val="24"/>
                <w:szCs w:val="24"/>
                <w:u w:val="none"/>
                <w14:textFill>
                  <w14:solidFill>
                    <w14:schemeClr w14:val="bg1"/>
                  </w14:solidFill>
                </w14:textFill>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序号</w:t>
            </w:r>
          </w:p>
        </w:tc>
        <w:tc>
          <w:tcPr>
            <w:tcW w:w="1838" w:type="dxa"/>
            <w:tcBorders>
              <w:top w:val="single" w:color="000000" w:sz="4" w:space="0"/>
              <w:left w:val="nil"/>
              <w:bottom w:val="single" w:color="000000" w:sz="4" w:space="0"/>
              <w:right w:val="single" w:color="000000" w:sz="4" w:space="0"/>
            </w:tcBorders>
            <w:shd w:val="clear" w:color="8064A2" w:fill="00B050"/>
            <w:vAlign w:val="center"/>
          </w:tcPr>
          <w:p>
            <w:pPr>
              <w:keepNext w:val="0"/>
              <w:keepLines w:val="0"/>
              <w:widowControl/>
              <w:suppressLineNumbers w:val="0"/>
              <w:jc w:val="center"/>
              <w:textAlignment w:val="center"/>
              <w:rPr>
                <w:rFonts w:hint="eastAsia" w:ascii="宋体" w:hAnsi="宋体" w:eastAsia="宋体" w:cs="宋体"/>
                <w:b/>
                <w:bCs/>
                <w:i w:val="0"/>
                <w:iCs w:val="0"/>
                <w:color w:val="FFFFFF" w:themeColor="background1"/>
                <w:sz w:val="24"/>
                <w:szCs w:val="24"/>
                <w:u w:val="none"/>
                <w14:textFill>
                  <w14:solidFill>
                    <w14:schemeClr w14:val="bg1"/>
                  </w14:solidFill>
                </w14:textFill>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学院名称</w:t>
            </w:r>
          </w:p>
        </w:tc>
        <w:tc>
          <w:tcPr>
            <w:tcW w:w="2762" w:type="dxa"/>
            <w:tcBorders>
              <w:top w:val="single" w:color="000000" w:sz="4" w:space="0"/>
              <w:left w:val="nil"/>
              <w:bottom w:val="single" w:color="000000" w:sz="4" w:space="0"/>
              <w:right w:val="single" w:color="000000" w:sz="4" w:space="0"/>
            </w:tcBorders>
            <w:shd w:val="clear" w:color="8064A2" w:fill="00B050"/>
            <w:vAlign w:val="center"/>
          </w:tcPr>
          <w:p>
            <w:pPr>
              <w:keepNext w:val="0"/>
              <w:keepLines w:val="0"/>
              <w:widowControl/>
              <w:suppressLineNumbers w:val="0"/>
              <w:jc w:val="center"/>
              <w:textAlignment w:val="center"/>
              <w:rPr>
                <w:rFonts w:hint="eastAsia" w:ascii="宋体" w:hAnsi="宋体" w:eastAsia="宋体" w:cs="宋体"/>
                <w:b/>
                <w:bCs/>
                <w:i w:val="0"/>
                <w:iCs w:val="0"/>
                <w:color w:val="FFFFFF" w:themeColor="background1"/>
                <w:sz w:val="24"/>
                <w:szCs w:val="24"/>
                <w:u w:val="none"/>
                <w14:textFill>
                  <w14:solidFill>
                    <w14:schemeClr w14:val="bg1"/>
                  </w14:solidFill>
                </w14:textFill>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专业名称</w:t>
            </w:r>
          </w:p>
        </w:tc>
        <w:tc>
          <w:tcPr>
            <w:tcW w:w="1401" w:type="dxa"/>
            <w:tcBorders>
              <w:top w:val="single" w:color="000000" w:sz="4" w:space="0"/>
              <w:left w:val="nil"/>
              <w:bottom w:val="single" w:color="000000" w:sz="4" w:space="0"/>
              <w:right w:val="single" w:color="000000" w:sz="4" w:space="0"/>
            </w:tcBorders>
            <w:shd w:val="clear" w:color="8064A2" w:fill="00B050"/>
            <w:vAlign w:val="center"/>
          </w:tcPr>
          <w:p>
            <w:pPr>
              <w:keepNext w:val="0"/>
              <w:keepLines w:val="0"/>
              <w:widowControl/>
              <w:suppressLineNumbers w:val="0"/>
              <w:jc w:val="center"/>
              <w:textAlignment w:val="center"/>
              <w:rPr>
                <w:rFonts w:hint="eastAsia" w:ascii="宋体" w:hAnsi="宋体" w:eastAsia="宋体" w:cs="宋体"/>
                <w:b/>
                <w:bCs/>
                <w:i w:val="0"/>
                <w:iCs w:val="0"/>
                <w:color w:val="FFFFFF" w:themeColor="background1"/>
                <w:sz w:val="24"/>
                <w:szCs w:val="24"/>
                <w:u w:val="none"/>
                <w14:textFill>
                  <w14:solidFill>
                    <w14:schemeClr w14:val="bg1"/>
                  </w14:solidFill>
                </w14:textFill>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毕业人数</w:t>
            </w:r>
          </w:p>
        </w:tc>
        <w:tc>
          <w:tcPr>
            <w:tcW w:w="1495" w:type="dxa"/>
            <w:tcBorders>
              <w:top w:val="single" w:color="000000" w:sz="4" w:space="0"/>
              <w:left w:val="nil"/>
              <w:bottom w:val="single" w:color="000000" w:sz="4" w:space="0"/>
              <w:right w:val="single" w:color="000000" w:sz="4" w:space="0"/>
            </w:tcBorders>
            <w:shd w:val="clear" w:color="8064A2" w:fill="00B050"/>
            <w:vAlign w:val="center"/>
          </w:tcPr>
          <w:p>
            <w:pPr>
              <w:keepNext w:val="0"/>
              <w:keepLines w:val="0"/>
              <w:widowControl/>
              <w:suppressLineNumbers w:val="0"/>
              <w:jc w:val="center"/>
              <w:textAlignment w:val="center"/>
              <w:rPr>
                <w:rFonts w:hint="eastAsia" w:ascii="宋体" w:hAnsi="宋体" w:eastAsia="宋体" w:cs="宋体"/>
                <w:b/>
                <w:bCs/>
                <w:i w:val="0"/>
                <w:iCs w:val="0"/>
                <w:color w:val="FFFFFF" w:themeColor="background1"/>
                <w:sz w:val="24"/>
                <w:szCs w:val="24"/>
                <w:u w:val="none"/>
                <w14:textFill>
                  <w14:solidFill>
                    <w14:schemeClr w14:val="bg1"/>
                  </w14:solidFill>
                </w14:textFill>
              </w:rPr>
            </w:pPr>
            <w:r>
              <w:rPr>
                <w:rFonts w:hint="eastAsia" w:ascii="宋体" w:hAnsi="宋体" w:eastAsia="宋体" w:cs="宋体"/>
                <w:b/>
                <w:bCs/>
                <w:i w:val="0"/>
                <w:iCs w:val="0"/>
                <w:color w:val="FFFFFF" w:themeColor="background1"/>
                <w:kern w:val="0"/>
                <w:sz w:val="24"/>
                <w:szCs w:val="24"/>
                <w:u w:val="none"/>
                <w:lang w:val="en-US" w:eastAsia="zh-CN" w:bidi="ar"/>
                <w14:textFill>
                  <w14:solidFill>
                    <w14:schemeClr w14:val="bg1"/>
                  </w14:solidFill>
                </w14:textFill>
              </w:rPr>
              <w:t>所占比例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经济学院</w:t>
            </w: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国际经济与贸易</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208</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商务经济学</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国际商务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299</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财政金融学院</w:t>
            </w: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财政学</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金融学</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356</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投资学</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税收学</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523</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会计学院</w:t>
            </w: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会计学</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775</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财务管理</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审计学</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1034</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工程管理学院</w:t>
            </w: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房地产开发与管理</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工程管理</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工程造价</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土地资源管理</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261</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外国语学院</w:t>
            </w: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英语</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商务英语</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翻译</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日语</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289</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信息技术与管理学院</w:t>
            </w: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信息管理与信息系统</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电子商务</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电子信息工程</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391</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工商管理学院</w:t>
            </w: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市场营销</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物流管理</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人力资源管理</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351</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厚生国际教育学院</w:t>
            </w: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会计学（国）</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112</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法学与公共管理学院</w:t>
            </w: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行政管理</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劳动与社会保障</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136</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人文与艺术学院</w:t>
            </w: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网络与新媒体</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92</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838" w:type="dxa"/>
            <w:vMerge w:val="restart"/>
            <w:tcBorders>
              <w:top w:val="nil"/>
              <w:left w:val="single" w:color="000000" w:sz="4" w:space="0"/>
              <w:bottom w:val="single" w:color="000000" w:sz="4" w:space="0"/>
              <w:right w:val="single" w:color="000000" w:sz="4" w:space="0"/>
            </w:tcBorders>
            <w:shd w:val="clear" w:color="000000" w:fill="C2D69A"/>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数学与统计学院</w:t>
            </w: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金融数学</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22" w:type="dxa"/>
            <w:tcBorders>
              <w:top w:val="nil"/>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w:t>
            </w:r>
          </w:p>
        </w:tc>
        <w:tc>
          <w:tcPr>
            <w:tcW w:w="1838" w:type="dxa"/>
            <w:vMerge w:val="continue"/>
            <w:tcBorders>
              <w:top w:val="nil"/>
              <w:left w:val="single" w:color="000000" w:sz="4" w:space="0"/>
              <w:bottom w:val="single" w:color="000000" w:sz="4" w:space="0"/>
              <w:right w:val="single" w:color="000000" w:sz="4" w:space="0"/>
            </w:tcBorders>
            <w:shd w:val="clear" w:color="000000" w:fill="C2D69A"/>
            <w:vAlign w:val="center"/>
          </w:tcPr>
          <w:p>
            <w:pPr>
              <w:jc w:val="center"/>
              <w:rPr>
                <w:rFonts w:hint="eastAsia" w:ascii="宋体" w:hAnsi="宋体" w:eastAsia="宋体" w:cs="宋体"/>
                <w:b/>
                <w:bCs/>
                <w:i w:val="0"/>
                <w:iCs w:val="0"/>
                <w:color w:val="000000"/>
                <w:sz w:val="24"/>
                <w:szCs w:val="24"/>
                <w:u w:val="none"/>
              </w:rPr>
            </w:pPr>
          </w:p>
        </w:tc>
        <w:tc>
          <w:tcPr>
            <w:tcW w:w="2762"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01"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46</w:t>
            </w:r>
          </w:p>
        </w:tc>
        <w:tc>
          <w:tcPr>
            <w:tcW w:w="1495" w:type="dxa"/>
            <w:tcBorders>
              <w:top w:val="nil"/>
              <w:left w:val="nil"/>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22" w:type="dxa"/>
            <w:tcBorders>
              <w:top w:val="nil"/>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w:t>
            </w:r>
          </w:p>
        </w:tc>
        <w:tc>
          <w:tcPr>
            <w:tcW w:w="1838" w:type="dxa"/>
            <w:tcBorders>
              <w:top w:val="nil"/>
              <w:left w:val="nil"/>
              <w:bottom w:val="single" w:color="000000" w:sz="4" w:space="0"/>
              <w:right w:val="nil"/>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762"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w:t>
            </w:r>
          </w:p>
        </w:tc>
        <w:tc>
          <w:tcPr>
            <w:tcW w:w="1401"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3534</w:t>
            </w:r>
          </w:p>
        </w:tc>
        <w:tc>
          <w:tcPr>
            <w:tcW w:w="1495" w:type="dxa"/>
            <w:tcBorders>
              <w:top w:val="nil"/>
              <w:left w:val="nil"/>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w:t>
            </w:r>
          </w:p>
        </w:tc>
      </w:tr>
    </w:tbl>
    <w:p>
      <w:pPr>
        <w:rPr>
          <w:rFonts w:hint="eastAsia" w:ascii="黑体" w:hAnsi="黑体" w:eastAsia="黑体"/>
          <w:color w:val="00B0F0"/>
          <w:kern w:val="0"/>
          <w:sz w:val="32"/>
          <w:szCs w:val="32"/>
        </w:rPr>
      </w:pPr>
      <w:bookmarkStart w:id="46" w:name="_Toc13618"/>
      <w:r>
        <w:rPr>
          <w:rFonts w:hint="eastAsia" w:ascii="黑体" w:hAnsi="黑体" w:eastAsia="黑体"/>
          <w:color w:val="00B0F0"/>
          <w:kern w:val="0"/>
          <w:sz w:val="32"/>
          <w:szCs w:val="32"/>
        </w:rPr>
        <w:br w:type="page"/>
      </w:r>
    </w:p>
    <w:p>
      <w:pPr>
        <w:pStyle w:val="3"/>
        <w:jc w:val="center"/>
        <w:outlineLvl w:val="0"/>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pPr>
      <w:bookmarkStart w:id="47" w:name="_Toc3881"/>
      <w:bookmarkStart w:id="48" w:name="_Toc27213"/>
      <w:bookmarkStart w:id="49" w:name="_Toc5951"/>
      <w:r>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t>第二部分  毕业生就业状况</w:t>
      </w:r>
      <w:bookmarkEnd w:id="46"/>
      <w:bookmarkEnd w:id="47"/>
      <w:bookmarkEnd w:id="48"/>
      <w:bookmarkEnd w:id="49"/>
    </w:p>
    <w:p>
      <w:pPr>
        <w:pStyle w:val="94"/>
        <w:ind w:firstLine="0" w:firstLineChars="0"/>
        <w:outlineLvl w:val="1"/>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pPr>
      <w:bookmarkStart w:id="50" w:name="_Toc437032034"/>
      <w:bookmarkStart w:id="51" w:name="_Toc437501609"/>
      <w:bookmarkStart w:id="52" w:name="_Toc29437"/>
      <w:bookmarkStart w:id="53" w:name="_Toc25005"/>
      <w:bookmarkStart w:id="54" w:name="_Toc2685"/>
      <w:bookmarkStart w:id="55" w:name="_Toc4192"/>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2.1</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毕业生</w:t>
      </w:r>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整体</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去向落实</w:t>
      </w:r>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率</w:t>
      </w:r>
      <w:bookmarkEnd w:id="50"/>
      <w:bookmarkEnd w:id="51"/>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年，我校毕业生人数共计</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3534</w:t>
      </w:r>
      <w:r>
        <w:rPr>
          <w:rFonts w:hint="eastAsia" w:ascii="仿宋_GB2312" w:hAnsi="仿宋_GB2312" w:eastAsia="仿宋_GB2312" w:cs="仿宋_GB2312"/>
          <w:b w:val="0"/>
          <w:bCs w:val="0"/>
          <w:color w:val="000000" w:themeColor="text1"/>
          <w:sz w:val="28"/>
          <w:szCs w:val="28"/>
          <w14:textFill>
            <w14:solidFill>
              <w14:schemeClr w14:val="tx1"/>
            </w14:solidFill>
          </w14:textFill>
        </w:rPr>
        <w:t>人，截止8月31日，已就业人数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3139</w:t>
      </w:r>
      <w:r>
        <w:rPr>
          <w:rFonts w:hint="eastAsia" w:ascii="仿宋_GB2312" w:hAnsi="仿宋_GB2312" w:eastAsia="仿宋_GB2312" w:cs="仿宋_GB2312"/>
          <w:b w:val="0"/>
          <w:bCs w:val="0"/>
          <w:color w:val="000000" w:themeColor="text1"/>
          <w:sz w:val="28"/>
          <w:szCs w:val="28"/>
          <w14:textFill>
            <w14:solidFill>
              <w14:schemeClr w14:val="tx1"/>
            </w14:solidFill>
          </w14:textFill>
        </w:rPr>
        <w:t>人，初次</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毕业去向落实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率为</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88.82</w:t>
      </w:r>
      <w:r>
        <w:rPr>
          <w:rFonts w:hint="eastAsia" w:ascii="仿宋_GB2312" w:hAnsi="仿宋_GB2312" w:eastAsia="仿宋_GB2312" w:cs="仿宋_GB2312"/>
          <w:b w:val="0"/>
          <w:bCs w:val="0"/>
          <w:color w:val="000000" w:themeColor="text1"/>
          <w:sz w:val="28"/>
          <w:szCs w:val="28"/>
          <w14:textFill>
            <w14:solidFill>
              <w14:schemeClr w14:val="tx1"/>
            </w14:solidFill>
          </w14:textFill>
        </w:rPr>
        <w:t>%，其中，已就业并办理《报到证》3</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80</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0.75</w:t>
      </w:r>
      <w:r>
        <w:rPr>
          <w:rFonts w:hint="eastAsia" w:ascii="仿宋_GB2312" w:hAnsi="仿宋_GB2312" w:eastAsia="仿宋_GB2312" w:cs="仿宋_GB2312"/>
          <w:b w:val="0"/>
          <w:bCs w:val="0"/>
          <w:color w:val="000000" w:themeColor="text1"/>
          <w:sz w:val="28"/>
          <w:szCs w:val="28"/>
          <w14:textFill>
            <w14:solidFill>
              <w14:schemeClr w14:val="tx1"/>
            </w14:solidFill>
          </w14:textFill>
        </w:rPr>
        <w:t>%；继续深造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250</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07</w:t>
      </w:r>
      <w:r>
        <w:rPr>
          <w:rFonts w:hint="eastAsia" w:ascii="仿宋_GB2312" w:hAnsi="仿宋_GB2312" w:eastAsia="仿宋_GB2312" w:cs="仿宋_GB2312"/>
          <w:b w:val="0"/>
          <w:bCs w:val="0"/>
          <w:color w:val="000000" w:themeColor="text1"/>
          <w:sz w:val="28"/>
          <w:szCs w:val="28"/>
          <w14:textFill>
            <w14:solidFill>
              <w14:schemeClr w14:val="tx1"/>
            </w14:solidFill>
          </w14:textFill>
        </w:rPr>
        <w:t>%；出国留学或工作</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57</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61</w:t>
      </w:r>
      <w:r>
        <w:rPr>
          <w:rFonts w:hint="eastAsia" w:ascii="仿宋_GB2312" w:hAnsi="仿宋_GB2312" w:eastAsia="仿宋_GB2312" w:cs="仿宋_GB2312"/>
          <w:b w:val="0"/>
          <w:bCs w:val="0"/>
          <w:color w:val="000000" w:themeColor="text1"/>
          <w:sz w:val="28"/>
          <w:szCs w:val="28"/>
          <w14:textFill>
            <w14:solidFill>
              <w14:schemeClr w14:val="tx1"/>
            </w14:solidFill>
          </w14:textFill>
        </w:rPr>
        <w:t>%；国家与地方基层项目就业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31</w:t>
      </w:r>
      <w:r>
        <w:rPr>
          <w:rFonts w:hint="eastAsia" w:ascii="仿宋_GB2312" w:hAnsi="仿宋_GB2312" w:eastAsia="仿宋_GB2312" w:cs="仿宋_GB2312"/>
          <w:b w:val="0"/>
          <w:bCs w:val="0"/>
          <w:color w:val="000000" w:themeColor="text1"/>
          <w:sz w:val="28"/>
          <w:szCs w:val="28"/>
          <w14:textFill>
            <w14:solidFill>
              <w14:schemeClr w14:val="tx1"/>
            </w14:solidFill>
          </w14:textFill>
        </w:rPr>
        <w:t>%；灵活就业1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745</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49.38</w:t>
      </w:r>
      <w:r>
        <w:rPr>
          <w:rFonts w:hint="eastAsia" w:ascii="仿宋_GB2312" w:hAnsi="仿宋_GB2312" w:eastAsia="仿宋_GB2312" w:cs="仿宋_GB2312"/>
          <w:b w:val="0"/>
          <w:bCs w:val="0"/>
          <w:color w:val="000000" w:themeColor="text1"/>
          <w:sz w:val="28"/>
          <w:szCs w:val="28"/>
          <w14:textFill>
            <w14:solidFill>
              <w14:schemeClr w14:val="tx1"/>
            </w14:solidFill>
          </w14:textFill>
        </w:rPr>
        <w:t>%；登记自主创业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自由职业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667人，占18.87%。</w:t>
      </w:r>
      <w:r>
        <w:rPr>
          <w:rFonts w:hint="eastAsia" w:ascii="仿宋_GB2312" w:hAnsi="仿宋_GB2312" w:eastAsia="仿宋_GB2312" w:cs="仿宋_GB2312"/>
          <w:b w:val="0"/>
          <w:bCs w:val="0"/>
          <w:color w:val="000000" w:themeColor="text1"/>
          <w:sz w:val="28"/>
          <w:szCs w:val="28"/>
          <w14:textFill>
            <w14:solidFill>
              <w14:schemeClr w14:val="tx1"/>
            </w14:solidFill>
          </w14:textFill>
        </w:rPr>
        <w:t>另有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395</w:t>
      </w:r>
      <w:r>
        <w:rPr>
          <w:rFonts w:hint="eastAsia" w:ascii="仿宋_GB2312" w:hAnsi="仿宋_GB2312" w:eastAsia="仿宋_GB2312" w:cs="仿宋_GB2312"/>
          <w:b w:val="0"/>
          <w:bCs w:val="0"/>
          <w:color w:val="000000" w:themeColor="text1"/>
          <w:sz w:val="28"/>
          <w:szCs w:val="28"/>
          <w14:textFill>
            <w14:solidFill>
              <w14:schemeClr w14:val="tx1"/>
            </w14:solidFill>
          </w14:textFill>
        </w:rPr>
        <w:t>人暂未就业，占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11.18</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毕业生初次</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毕业去向落实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率、签约率比去年同期呈上升趋势，就业质量也有一定提高。</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具体情况</w:t>
      </w:r>
      <w:r>
        <w:rPr>
          <w:rFonts w:hint="eastAsia" w:ascii="仿宋_GB2312" w:hAnsi="仿宋_GB2312" w:eastAsia="仿宋_GB2312" w:cs="仿宋_GB2312"/>
          <w:b w:val="0"/>
          <w:bCs w:val="0"/>
          <w:color w:val="000000" w:themeColor="text1"/>
          <w:sz w:val="28"/>
          <w:szCs w:val="28"/>
          <w14:textFill>
            <w14:solidFill>
              <w14:schemeClr w14:val="tx1"/>
            </w14:solidFill>
          </w14:textFill>
        </w:rPr>
        <w:t>详见图表 2-1。</w:t>
      </w:r>
    </w:p>
    <w:p>
      <w:pPr>
        <w:widowControl/>
        <w:jc w:val="center"/>
        <w:rPr>
          <w:rFonts w:hint="eastAsia" w:ascii="仿宋_GB2312" w:eastAsia="仿宋_GB2312"/>
          <w:b/>
          <w:sz w:val="28"/>
          <w:szCs w:val="28"/>
        </w:rPr>
      </w:pPr>
      <w:r>
        <w:rPr>
          <w:rFonts w:hint="eastAsia" w:ascii="仿宋_GB2312" w:eastAsia="仿宋_GB2312"/>
          <w:b/>
          <w:sz w:val="28"/>
          <w:szCs w:val="28"/>
          <w:lang w:val="en-US" w:eastAsia="zh-CN"/>
        </w:rPr>
        <w:t xml:space="preserve">  </w:t>
      </w:r>
      <w:r>
        <w:rPr>
          <w:rFonts w:hint="eastAsia" w:ascii="仿宋_GB2312" w:hAnsi="仿宋_GB2312" w:eastAsia="仿宋_GB2312" w:cs="仿宋_GB2312"/>
          <w:b/>
          <w:sz w:val="28"/>
          <w:szCs w:val="28"/>
        </w:rPr>
        <w:t>表2-1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届毕业生初次</w:t>
      </w:r>
      <w:r>
        <w:rPr>
          <w:rFonts w:hint="eastAsia" w:ascii="仿宋_GB2312" w:hAnsi="仿宋_GB2312" w:eastAsia="仿宋_GB2312" w:cs="仿宋_GB2312"/>
          <w:b/>
          <w:sz w:val="28"/>
          <w:szCs w:val="28"/>
          <w:lang w:eastAsia="zh-CN"/>
        </w:rPr>
        <w:t>毕业去向落实</w:t>
      </w:r>
      <w:r>
        <w:rPr>
          <w:rFonts w:hint="eastAsia" w:ascii="仿宋_GB2312" w:hAnsi="仿宋_GB2312" w:eastAsia="仿宋_GB2312" w:cs="仿宋_GB2312"/>
          <w:b/>
          <w:sz w:val="28"/>
          <w:szCs w:val="28"/>
        </w:rPr>
        <w:t>率统计表</w:t>
      </w:r>
    </w:p>
    <w:tbl>
      <w:tblPr>
        <w:tblStyle w:val="17"/>
        <w:tblW w:w="83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45"/>
        <w:gridCol w:w="1148"/>
        <w:gridCol w:w="1536"/>
        <w:gridCol w:w="1371"/>
        <w:gridCol w:w="1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2645" w:type="dxa"/>
            <w:vMerge w:val="restart"/>
            <w:tcBorders>
              <w:top w:val="single" w:color="111111" w:sz="8" w:space="0"/>
              <w:left w:val="single" w:color="111111" w:sz="8"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就业情况</w:t>
            </w:r>
          </w:p>
        </w:tc>
        <w:tc>
          <w:tcPr>
            <w:tcW w:w="2684" w:type="dxa"/>
            <w:gridSpan w:val="2"/>
            <w:tcBorders>
              <w:top w:val="single" w:color="111111" w:sz="8" w:space="0"/>
              <w:left w:val="single" w:color="111111" w:sz="4" w:space="0"/>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合计</w:t>
            </w:r>
          </w:p>
        </w:tc>
        <w:tc>
          <w:tcPr>
            <w:tcW w:w="3029" w:type="dxa"/>
            <w:gridSpan w:val="2"/>
            <w:tcBorders>
              <w:top w:val="single" w:color="111111" w:sz="8" w:space="0"/>
              <w:left w:val="single" w:color="111111" w:sz="4" w:space="0"/>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本科毕业生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2645" w:type="dxa"/>
            <w:vMerge w:val="continue"/>
            <w:tcBorders>
              <w:left w:val="single" w:color="111111" w:sz="8" w:space="0"/>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p>
        </w:tc>
        <w:tc>
          <w:tcPr>
            <w:tcW w:w="1148" w:type="dxa"/>
            <w:tcBorders>
              <w:top w:val="nil"/>
              <w:left w:val="nil"/>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人数</w:t>
            </w:r>
          </w:p>
        </w:tc>
        <w:tc>
          <w:tcPr>
            <w:tcW w:w="1536" w:type="dxa"/>
            <w:tcBorders>
              <w:top w:val="nil"/>
              <w:left w:val="nil"/>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百分比</w:t>
            </w:r>
          </w:p>
        </w:tc>
        <w:tc>
          <w:tcPr>
            <w:tcW w:w="1371" w:type="dxa"/>
            <w:tcBorders>
              <w:top w:val="nil"/>
              <w:left w:val="nil"/>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人数</w:t>
            </w:r>
          </w:p>
        </w:tc>
        <w:tc>
          <w:tcPr>
            <w:tcW w:w="1658" w:type="dxa"/>
            <w:tcBorders>
              <w:top w:val="single" w:color="111111" w:sz="4" w:space="0"/>
              <w:left w:val="single" w:color="111111" w:sz="4" w:space="0"/>
              <w:bottom w:val="single" w:color="111111" w:sz="4" w:space="0"/>
              <w:right w:val="single" w:color="111111" w:sz="4" w:space="0"/>
            </w:tcBorders>
            <w:shd w:val="clear" w:color="000000" w:fill="4E6127" w:themeFill="accent3" w:themeFillShade="7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百分比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EAF1DD" w:fill="EAF1DD"/>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总人数</w:t>
            </w:r>
          </w:p>
        </w:tc>
        <w:tc>
          <w:tcPr>
            <w:tcW w:w="114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3534</w:t>
            </w:r>
          </w:p>
        </w:tc>
        <w:tc>
          <w:tcPr>
            <w:tcW w:w="1536"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100.00%</w:t>
            </w:r>
          </w:p>
        </w:tc>
        <w:tc>
          <w:tcPr>
            <w:tcW w:w="1371"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3534</w:t>
            </w:r>
          </w:p>
        </w:tc>
        <w:tc>
          <w:tcPr>
            <w:tcW w:w="165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D7E4BC" w:fill="D7E4BC"/>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已就业并办理《报到证》</w:t>
            </w:r>
          </w:p>
        </w:tc>
        <w:tc>
          <w:tcPr>
            <w:tcW w:w="114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380</w:t>
            </w:r>
          </w:p>
        </w:tc>
        <w:tc>
          <w:tcPr>
            <w:tcW w:w="1536"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10.75%</w:t>
            </w:r>
          </w:p>
        </w:tc>
        <w:tc>
          <w:tcPr>
            <w:tcW w:w="1371"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380</w:t>
            </w:r>
          </w:p>
        </w:tc>
        <w:tc>
          <w:tcPr>
            <w:tcW w:w="165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EAF1DD" w:fill="EAF1DD"/>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出国留学或工作</w:t>
            </w:r>
          </w:p>
        </w:tc>
        <w:tc>
          <w:tcPr>
            <w:tcW w:w="114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57</w:t>
            </w:r>
          </w:p>
        </w:tc>
        <w:tc>
          <w:tcPr>
            <w:tcW w:w="1536"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1.61%</w:t>
            </w:r>
          </w:p>
        </w:tc>
        <w:tc>
          <w:tcPr>
            <w:tcW w:w="1371"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57</w:t>
            </w:r>
          </w:p>
        </w:tc>
        <w:tc>
          <w:tcPr>
            <w:tcW w:w="165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D7E4BC" w:fill="D7E4BC"/>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自主创业</w:t>
            </w:r>
          </w:p>
        </w:tc>
        <w:tc>
          <w:tcPr>
            <w:tcW w:w="114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29</w:t>
            </w:r>
          </w:p>
        </w:tc>
        <w:tc>
          <w:tcPr>
            <w:tcW w:w="1536"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0.82%</w:t>
            </w:r>
          </w:p>
        </w:tc>
        <w:tc>
          <w:tcPr>
            <w:tcW w:w="1371"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29</w:t>
            </w:r>
          </w:p>
        </w:tc>
        <w:tc>
          <w:tcPr>
            <w:tcW w:w="165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EAF1DD" w:fill="EAF1DD"/>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聘用(灵活就业)</w:t>
            </w:r>
          </w:p>
        </w:tc>
        <w:tc>
          <w:tcPr>
            <w:tcW w:w="114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1745</w:t>
            </w:r>
          </w:p>
        </w:tc>
        <w:tc>
          <w:tcPr>
            <w:tcW w:w="1536"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49.38%</w:t>
            </w:r>
          </w:p>
        </w:tc>
        <w:tc>
          <w:tcPr>
            <w:tcW w:w="1371"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1745</w:t>
            </w:r>
          </w:p>
        </w:tc>
        <w:tc>
          <w:tcPr>
            <w:tcW w:w="165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D7E4BC" w:fill="D7E4BC"/>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继续深造</w:t>
            </w:r>
          </w:p>
        </w:tc>
        <w:tc>
          <w:tcPr>
            <w:tcW w:w="114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250</w:t>
            </w:r>
          </w:p>
        </w:tc>
        <w:tc>
          <w:tcPr>
            <w:tcW w:w="1536"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7.07%</w:t>
            </w:r>
          </w:p>
        </w:tc>
        <w:tc>
          <w:tcPr>
            <w:tcW w:w="1371"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250</w:t>
            </w:r>
          </w:p>
        </w:tc>
        <w:tc>
          <w:tcPr>
            <w:tcW w:w="165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EAF1DD" w:fill="EAF1DD"/>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自由职业</w:t>
            </w:r>
          </w:p>
        </w:tc>
        <w:tc>
          <w:tcPr>
            <w:tcW w:w="114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667</w:t>
            </w:r>
          </w:p>
        </w:tc>
        <w:tc>
          <w:tcPr>
            <w:tcW w:w="1536"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18.87%</w:t>
            </w:r>
          </w:p>
        </w:tc>
        <w:tc>
          <w:tcPr>
            <w:tcW w:w="1371"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667</w:t>
            </w:r>
          </w:p>
        </w:tc>
        <w:tc>
          <w:tcPr>
            <w:tcW w:w="165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D7E4BC" w:fill="D7E4BC"/>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国家、地方项目就业</w:t>
            </w:r>
          </w:p>
        </w:tc>
        <w:tc>
          <w:tcPr>
            <w:tcW w:w="114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w:t>
            </w:r>
          </w:p>
        </w:tc>
        <w:tc>
          <w:tcPr>
            <w:tcW w:w="1536"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0.31%</w:t>
            </w:r>
          </w:p>
        </w:tc>
        <w:tc>
          <w:tcPr>
            <w:tcW w:w="1371"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w:t>
            </w:r>
          </w:p>
        </w:tc>
        <w:tc>
          <w:tcPr>
            <w:tcW w:w="1658" w:type="dxa"/>
            <w:tcBorders>
              <w:top w:val="single" w:color="111111" w:sz="4" w:space="0"/>
              <w:left w:val="single" w:color="111111" w:sz="4" w:space="0"/>
              <w:bottom w:val="single" w:color="111111" w:sz="4"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2645" w:type="dxa"/>
            <w:tcBorders>
              <w:top w:val="single" w:color="111111" w:sz="4" w:space="0"/>
              <w:left w:val="single" w:color="111111" w:sz="8" w:space="0"/>
              <w:bottom w:val="single" w:color="111111" w:sz="4" w:space="0"/>
              <w:right w:val="single" w:color="111111" w:sz="4" w:space="0"/>
            </w:tcBorders>
            <w:shd w:val="clear" w:color="EAF1DD" w:fill="EAF1DD"/>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总就业率（2-8项合计）</w:t>
            </w:r>
          </w:p>
        </w:tc>
        <w:tc>
          <w:tcPr>
            <w:tcW w:w="114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3139</w:t>
            </w:r>
          </w:p>
        </w:tc>
        <w:tc>
          <w:tcPr>
            <w:tcW w:w="1536"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88.82%</w:t>
            </w:r>
          </w:p>
        </w:tc>
        <w:tc>
          <w:tcPr>
            <w:tcW w:w="1371"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3139</w:t>
            </w:r>
          </w:p>
        </w:tc>
        <w:tc>
          <w:tcPr>
            <w:tcW w:w="1658" w:type="dxa"/>
            <w:tcBorders>
              <w:top w:val="single" w:color="111111" w:sz="4" w:space="0"/>
              <w:left w:val="single" w:color="111111" w:sz="4" w:space="0"/>
              <w:bottom w:val="single" w:color="111111" w:sz="4" w:space="0"/>
              <w:right w:val="single" w:color="111111"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645" w:type="dxa"/>
            <w:tcBorders>
              <w:top w:val="single" w:color="111111" w:sz="4" w:space="0"/>
              <w:left w:val="single" w:color="111111" w:sz="8" w:space="0"/>
              <w:bottom w:val="single" w:color="111111" w:sz="8" w:space="0"/>
              <w:right w:val="single" w:color="111111" w:sz="4" w:space="0"/>
            </w:tcBorders>
            <w:shd w:val="clear" w:color="D7E4BC" w:fill="D7E4BC"/>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待就业</w:t>
            </w:r>
          </w:p>
        </w:tc>
        <w:tc>
          <w:tcPr>
            <w:tcW w:w="1148" w:type="dxa"/>
            <w:tcBorders>
              <w:top w:val="single" w:color="111111" w:sz="4" w:space="0"/>
              <w:left w:val="single" w:color="111111" w:sz="4" w:space="0"/>
              <w:bottom w:val="single" w:color="111111" w:sz="8"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395</w:t>
            </w:r>
          </w:p>
        </w:tc>
        <w:tc>
          <w:tcPr>
            <w:tcW w:w="1536" w:type="dxa"/>
            <w:tcBorders>
              <w:top w:val="single" w:color="111111" w:sz="4" w:space="0"/>
              <w:left w:val="single" w:color="111111" w:sz="4" w:space="0"/>
              <w:bottom w:val="single" w:color="111111" w:sz="8"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11.18%</w:t>
            </w:r>
          </w:p>
        </w:tc>
        <w:tc>
          <w:tcPr>
            <w:tcW w:w="1371" w:type="dxa"/>
            <w:tcBorders>
              <w:top w:val="single" w:color="111111" w:sz="4" w:space="0"/>
              <w:left w:val="single" w:color="111111" w:sz="4" w:space="0"/>
              <w:bottom w:val="single" w:color="111111" w:sz="8"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395</w:t>
            </w:r>
          </w:p>
        </w:tc>
        <w:tc>
          <w:tcPr>
            <w:tcW w:w="1658" w:type="dxa"/>
            <w:tcBorders>
              <w:top w:val="single" w:color="111111" w:sz="4" w:space="0"/>
              <w:left w:val="single" w:color="111111" w:sz="4" w:space="0"/>
              <w:bottom w:val="single" w:color="111111" w:sz="8" w:space="0"/>
              <w:right w:val="single" w:color="111111"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11.18%</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eastAsia="仿宋_GB2312"/>
          <w:b/>
          <w:color w:val="000000"/>
          <w:sz w:val="28"/>
          <w:szCs w:val="28"/>
          <w:u w:val="none"/>
        </w:rPr>
      </w:pPr>
      <w:r>
        <w:rPr>
          <w:rFonts w:hint="eastAsia" w:ascii="仿宋_GB2312" w:hAnsi="仿宋_GB2312" w:eastAsia="仿宋_GB2312" w:cs="仿宋_GB2312"/>
          <w:b/>
          <w:sz w:val="28"/>
          <w:szCs w:val="28"/>
        </w:rPr>
        <w:t>图2-1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届毕业生初次</w:t>
      </w:r>
      <w:r>
        <w:rPr>
          <w:rFonts w:hint="eastAsia" w:ascii="仿宋_GB2312" w:hAnsi="仿宋_GB2312" w:eastAsia="仿宋_GB2312" w:cs="仿宋_GB2312"/>
          <w:b/>
          <w:sz w:val="28"/>
          <w:szCs w:val="28"/>
          <w:lang w:eastAsia="zh-CN"/>
        </w:rPr>
        <w:t>毕业去向落实情况</w:t>
      </w:r>
      <w:r>
        <w:rPr>
          <w:rFonts w:hint="eastAsia" w:ascii="仿宋_GB2312" w:hAnsi="仿宋_GB2312" w:eastAsia="仿宋_GB2312" w:cs="仿宋_GB2312"/>
          <w:b/>
          <w:sz w:val="28"/>
          <w:szCs w:val="28"/>
        </w:rPr>
        <w:t>分布图</w:t>
      </w:r>
    </w:p>
    <w:p>
      <w:pPr>
        <w:rPr>
          <w:rFonts w:hint="eastAsia" w:ascii="仿宋_GB2312" w:eastAsia="仿宋_GB2312"/>
          <w:b/>
          <w:color w:val="000000"/>
          <w:sz w:val="28"/>
          <w:szCs w:val="28"/>
        </w:rPr>
      </w:pPr>
      <w:r>
        <w:drawing>
          <wp:inline distT="0" distB="0" distL="114300" distR="114300">
            <wp:extent cx="5293360" cy="2641600"/>
            <wp:effectExtent l="0" t="0" r="254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93360" cy="2641600"/>
                    </a:xfrm>
                    <a:prstGeom prst="rect">
                      <a:avLst/>
                    </a:prstGeom>
                    <a:noFill/>
                    <a:ln>
                      <a:noFill/>
                    </a:ln>
                  </pic:spPr>
                </pic:pic>
              </a:graphicData>
            </a:graphic>
          </wp:inline>
        </w:drawing>
      </w:r>
    </w:p>
    <w:p>
      <w:pPr>
        <w:pStyle w:val="94"/>
        <w:ind w:firstLine="0" w:firstLineChars="0"/>
        <w:outlineLvl w:val="1"/>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pPr>
      <w:bookmarkStart w:id="56" w:name="_Toc3420"/>
      <w:bookmarkStart w:id="57" w:name="_Toc343"/>
      <w:bookmarkStart w:id="58" w:name="_Toc14685"/>
      <w:bookmarkStart w:id="59" w:name="_Toc22999"/>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2.2</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毕业去向</w:t>
      </w:r>
      <w:bookmarkEnd w:id="56"/>
      <w:bookmarkEnd w:id="57"/>
      <w:bookmarkEnd w:id="58"/>
    </w:p>
    <w:p>
      <w:pPr>
        <w:pStyle w:val="94"/>
        <w:ind w:firstLine="0" w:firstLineChars="0"/>
        <w:outlineLvl w:val="2"/>
        <w:rPr>
          <w:rFonts w:hint="eastAsia" w:ascii="仿宋_GB2312" w:hAnsi="Calibri"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pPr>
      <w:bookmarkStart w:id="60" w:name="_Toc18682"/>
      <w:bookmarkStart w:id="61" w:name="_Toc29726"/>
      <w:bookmarkStart w:id="62" w:name="_Toc29752"/>
      <w:r>
        <w:rPr>
          <w:rFonts w:hint="eastAsia" w:ascii="仿宋_GB2312" w:hAnsi="Calibri"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t>2.2.1</w:t>
      </w:r>
      <w:r>
        <w:rPr>
          <w:rFonts w:hint="eastAsia" w:ascii="仿宋_GB2312"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t xml:space="preserve"> </w:t>
      </w:r>
      <w:r>
        <w:rPr>
          <w:rFonts w:hint="eastAsia" w:ascii="仿宋_GB2312" w:hAnsi="Calibri"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t>各二级学院毕业生去向落实</w:t>
      </w:r>
      <w:bookmarkEnd w:id="59"/>
      <w:r>
        <w:rPr>
          <w:rFonts w:hint="eastAsia" w:ascii="仿宋_GB2312" w:hAnsi="Calibri"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t>情况</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我校</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2021届</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具体</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分布在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w:t>
      </w:r>
      <w:r>
        <w:rPr>
          <w:rFonts w:hint="eastAsia" w:ascii="仿宋_GB2312" w:hAnsi="仿宋_GB2312" w:eastAsia="仿宋_GB2312" w:cs="仿宋_GB2312"/>
          <w:b w:val="0"/>
          <w:bCs w:val="0"/>
          <w:color w:val="000000" w:themeColor="text1"/>
          <w:sz w:val="28"/>
          <w:szCs w:val="28"/>
          <w14:textFill>
            <w14:solidFill>
              <w14:schemeClr w14:val="tx1"/>
            </w14:solidFill>
          </w14:textFill>
        </w:rPr>
        <w:t>个二级</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w:t>
      </w:r>
      <w:r>
        <w:rPr>
          <w:rFonts w:hint="eastAsia" w:ascii="仿宋_GB2312" w:hAnsi="仿宋_GB2312" w:eastAsia="仿宋_GB2312" w:cs="仿宋_GB2312"/>
          <w:b w:val="0"/>
          <w:bCs w:val="0"/>
          <w:color w:val="000000" w:themeColor="text1"/>
          <w:sz w:val="28"/>
          <w:szCs w:val="28"/>
          <w14:textFill>
            <w14:solidFill>
              <w14:schemeClr w14:val="tx1"/>
            </w14:solidFill>
          </w14:textFill>
        </w:rPr>
        <w:t>院。截止8月31日，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除</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数学与统计学院毕业生去向落实率达到100%外，</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去向落实率</w:t>
      </w:r>
      <w:r>
        <w:rPr>
          <w:rFonts w:hint="eastAsia" w:ascii="仿宋_GB2312" w:hAnsi="仿宋_GB2312" w:eastAsia="仿宋_GB2312" w:cs="仿宋_GB2312"/>
          <w:b w:val="0"/>
          <w:bCs w:val="0"/>
          <w:color w:val="000000" w:themeColor="text1"/>
          <w:sz w:val="28"/>
          <w:szCs w:val="28"/>
          <w14:textFill>
            <w14:solidFill>
              <w14:schemeClr w14:val="tx1"/>
            </w14:solidFill>
          </w14:textFill>
        </w:rPr>
        <w:t>达到 9</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28"/>
          <w:szCs w:val="28"/>
          <w14:textFill>
            <w14:solidFill>
              <w14:schemeClr w14:val="tx1"/>
            </w14:solidFill>
          </w14:textFill>
        </w:rPr>
        <w:t>%以上</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的有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工程管理学院（96.93%）、厚生国际教育学院（96.43%）、外国语学院（93.08%）、人文与艺术学院（92.39%）、信息技术与管理学院（90.28%）等</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14:textFill>
            <w14:solidFill>
              <w14:schemeClr w14:val="tx1"/>
            </w14:solidFill>
          </w14:textFill>
        </w:rPr>
        <w:t>个二级学院，具体情况详见表2-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w:t>
      </w:r>
      <w:r>
        <w:rPr>
          <w:rFonts w:hint="eastAsia" w:ascii="仿宋_GB2312" w:hAnsi="仿宋_GB2312" w:eastAsia="仿宋_GB2312" w:cs="仿宋_GB2312"/>
          <w:b/>
          <w:sz w:val="28"/>
          <w:szCs w:val="28"/>
          <w:lang w:val="en-US" w:eastAsia="zh-CN"/>
        </w:rPr>
        <w:t xml:space="preserve">2  </w:t>
      </w:r>
      <w:r>
        <w:rPr>
          <w:rFonts w:hint="eastAsia" w:ascii="仿宋_GB2312" w:hAnsi="仿宋_GB2312" w:eastAsia="仿宋_GB2312" w:cs="仿宋_GB2312"/>
          <w:b/>
          <w:sz w:val="28"/>
          <w:szCs w:val="28"/>
        </w:rPr>
        <w:t>各二级学院</w:t>
      </w:r>
      <w:r>
        <w:rPr>
          <w:rFonts w:hint="eastAsia" w:ascii="仿宋_GB2312" w:hAnsi="仿宋_GB2312" w:eastAsia="仿宋_GB2312" w:cs="仿宋_GB2312"/>
          <w:b/>
          <w:sz w:val="28"/>
          <w:szCs w:val="28"/>
          <w:lang w:val="en-US" w:eastAsia="zh-CN"/>
        </w:rPr>
        <w:t>2021届毕业生去向落实</w:t>
      </w:r>
      <w:r>
        <w:rPr>
          <w:rFonts w:hint="eastAsia" w:ascii="仿宋_GB2312" w:hAnsi="仿宋_GB2312" w:eastAsia="仿宋_GB2312" w:cs="仿宋_GB2312"/>
          <w:b/>
          <w:sz w:val="28"/>
          <w:szCs w:val="28"/>
        </w:rPr>
        <w:t>统计表</w:t>
      </w:r>
    </w:p>
    <w:tbl>
      <w:tblPr>
        <w:tblStyle w:val="17"/>
        <w:tblW w:w="827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6"/>
        <w:gridCol w:w="2573"/>
        <w:gridCol w:w="1532"/>
        <w:gridCol w:w="1799"/>
        <w:gridCol w:w="1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blHeader/>
        </w:trPr>
        <w:tc>
          <w:tcPr>
            <w:tcW w:w="806" w:type="dxa"/>
            <w:tcBorders>
              <w:top w:val="single" w:color="auto" w:sz="4" w:space="0"/>
              <w:left w:val="single" w:color="auto" w:sz="4" w:space="0"/>
              <w:bottom w:val="single" w:color="auto" w:sz="4" w:space="0"/>
              <w:right w:val="single" w:color="auto" w:sz="4" w:space="0"/>
            </w:tcBorders>
            <w:shd w:val="clear" w:color="C0504D" w:fill="943734" w:themeFill="accent2" w:themeFillShade="B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bookmarkStart w:id="63" w:name="_Toc9146"/>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序号</w:t>
            </w:r>
          </w:p>
        </w:tc>
        <w:tc>
          <w:tcPr>
            <w:tcW w:w="2573" w:type="dxa"/>
            <w:tcBorders>
              <w:top w:val="single" w:color="auto" w:sz="4" w:space="0"/>
              <w:left w:val="single" w:color="auto" w:sz="4" w:space="0"/>
              <w:bottom w:val="single" w:color="auto" w:sz="4" w:space="0"/>
              <w:right w:val="single" w:color="auto" w:sz="4" w:space="0"/>
            </w:tcBorders>
            <w:shd w:val="clear" w:color="C0504D" w:fill="943734" w:themeFill="accent2" w:themeFillShade="B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学院名称</w:t>
            </w:r>
          </w:p>
        </w:tc>
        <w:tc>
          <w:tcPr>
            <w:tcW w:w="1532" w:type="dxa"/>
            <w:tcBorders>
              <w:top w:val="single" w:color="auto" w:sz="4" w:space="0"/>
              <w:left w:val="single" w:color="auto" w:sz="4" w:space="0"/>
              <w:bottom w:val="single" w:color="auto" w:sz="4" w:space="0"/>
              <w:right w:val="single" w:color="auto" w:sz="4" w:space="0"/>
            </w:tcBorders>
            <w:shd w:val="clear" w:color="C0504D" w:fill="943734" w:themeFill="accent2" w:themeFillShade="B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毕业生人数</w:t>
            </w:r>
          </w:p>
        </w:tc>
        <w:tc>
          <w:tcPr>
            <w:tcW w:w="1799" w:type="dxa"/>
            <w:tcBorders>
              <w:top w:val="single" w:color="auto" w:sz="4" w:space="0"/>
              <w:left w:val="single" w:color="auto" w:sz="4" w:space="0"/>
              <w:bottom w:val="single" w:color="auto" w:sz="4" w:space="0"/>
              <w:right w:val="single" w:color="auto" w:sz="4" w:space="0"/>
            </w:tcBorders>
            <w:shd w:val="clear" w:color="C0504D" w:fill="943734" w:themeFill="accent2" w:themeFillShade="B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去向落实人数</w:t>
            </w:r>
          </w:p>
        </w:tc>
        <w:tc>
          <w:tcPr>
            <w:tcW w:w="1567" w:type="dxa"/>
            <w:tcBorders>
              <w:top w:val="single" w:color="auto" w:sz="4" w:space="0"/>
              <w:left w:val="single" w:color="auto" w:sz="4" w:space="0"/>
              <w:bottom w:val="single" w:color="auto" w:sz="4" w:space="0"/>
              <w:right w:val="single" w:color="auto" w:sz="4" w:space="0"/>
            </w:tcBorders>
            <w:shd w:val="clear" w:color="C0504D" w:fill="943734" w:themeFill="accent2" w:themeFillShade="B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去向落实率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w:t>
            </w:r>
          </w:p>
        </w:tc>
        <w:tc>
          <w:tcPr>
            <w:tcW w:w="2573"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会计学院</w:t>
            </w:r>
          </w:p>
        </w:tc>
        <w:tc>
          <w:tcPr>
            <w:tcW w:w="1532"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1034</w:t>
            </w:r>
          </w:p>
        </w:tc>
        <w:tc>
          <w:tcPr>
            <w:tcW w:w="1799"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901</w:t>
            </w:r>
          </w:p>
        </w:tc>
        <w:tc>
          <w:tcPr>
            <w:tcW w:w="1567"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w:t>
            </w:r>
          </w:p>
        </w:tc>
        <w:tc>
          <w:tcPr>
            <w:tcW w:w="257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财政金融学院</w:t>
            </w:r>
          </w:p>
        </w:tc>
        <w:tc>
          <w:tcPr>
            <w:tcW w:w="153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523</w:t>
            </w:r>
          </w:p>
        </w:tc>
        <w:tc>
          <w:tcPr>
            <w:tcW w:w="17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425</w:t>
            </w:r>
          </w:p>
        </w:tc>
        <w:tc>
          <w:tcPr>
            <w:tcW w:w="15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w:t>
            </w:r>
          </w:p>
        </w:tc>
        <w:tc>
          <w:tcPr>
            <w:tcW w:w="2573"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工商管理学院</w:t>
            </w:r>
          </w:p>
        </w:tc>
        <w:tc>
          <w:tcPr>
            <w:tcW w:w="1532"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351</w:t>
            </w:r>
          </w:p>
        </w:tc>
        <w:tc>
          <w:tcPr>
            <w:tcW w:w="1799"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314</w:t>
            </w:r>
          </w:p>
        </w:tc>
        <w:tc>
          <w:tcPr>
            <w:tcW w:w="1567"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w:t>
            </w:r>
          </w:p>
        </w:tc>
        <w:tc>
          <w:tcPr>
            <w:tcW w:w="257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信息技术与管理学院</w:t>
            </w:r>
          </w:p>
        </w:tc>
        <w:tc>
          <w:tcPr>
            <w:tcW w:w="153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391</w:t>
            </w:r>
          </w:p>
        </w:tc>
        <w:tc>
          <w:tcPr>
            <w:tcW w:w="17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353</w:t>
            </w:r>
          </w:p>
        </w:tc>
        <w:tc>
          <w:tcPr>
            <w:tcW w:w="15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w:t>
            </w:r>
          </w:p>
        </w:tc>
        <w:tc>
          <w:tcPr>
            <w:tcW w:w="2573"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外国语学院</w:t>
            </w:r>
          </w:p>
        </w:tc>
        <w:tc>
          <w:tcPr>
            <w:tcW w:w="1532"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289</w:t>
            </w:r>
          </w:p>
        </w:tc>
        <w:tc>
          <w:tcPr>
            <w:tcW w:w="1799"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269</w:t>
            </w:r>
          </w:p>
        </w:tc>
        <w:tc>
          <w:tcPr>
            <w:tcW w:w="1567"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w:t>
            </w:r>
          </w:p>
        </w:tc>
        <w:tc>
          <w:tcPr>
            <w:tcW w:w="257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工程管理学院</w:t>
            </w:r>
          </w:p>
        </w:tc>
        <w:tc>
          <w:tcPr>
            <w:tcW w:w="153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261</w:t>
            </w:r>
          </w:p>
        </w:tc>
        <w:tc>
          <w:tcPr>
            <w:tcW w:w="17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253</w:t>
            </w:r>
          </w:p>
        </w:tc>
        <w:tc>
          <w:tcPr>
            <w:tcW w:w="15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w:t>
            </w:r>
          </w:p>
        </w:tc>
        <w:tc>
          <w:tcPr>
            <w:tcW w:w="2573"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法学与公共管理学院</w:t>
            </w:r>
          </w:p>
        </w:tc>
        <w:tc>
          <w:tcPr>
            <w:tcW w:w="1532"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136</w:t>
            </w:r>
          </w:p>
        </w:tc>
        <w:tc>
          <w:tcPr>
            <w:tcW w:w="1799"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119</w:t>
            </w:r>
          </w:p>
        </w:tc>
        <w:tc>
          <w:tcPr>
            <w:tcW w:w="1567"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w:t>
            </w:r>
          </w:p>
        </w:tc>
        <w:tc>
          <w:tcPr>
            <w:tcW w:w="257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经济学院</w:t>
            </w:r>
          </w:p>
        </w:tc>
        <w:tc>
          <w:tcPr>
            <w:tcW w:w="153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299</w:t>
            </w:r>
          </w:p>
        </w:tc>
        <w:tc>
          <w:tcPr>
            <w:tcW w:w="17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266</w:t>
            </w:r>
          </w:p>
        </w:tc>
        <w:tc>
          <w:tcPr>
            <w:tcW w:w="15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w:t>
            </w:r>
          </w:p>
        </w:tc>
        <w:tc>
          <w:tcPr>
            <w:tcW w:w="2573"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厚生国际教育学院</w:t>
            </w:r>
          </w:p>
        </w:tc>
        <w:tc>
          <w:tcPr>
            <w:tcW w:w="1532"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112</w:t>
            </w:r>
          </w:p>
        </w:tc>
        <w:tc>
          <w:tcPr>
            <w:tcW w:w="1799"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108</w:t>
            </w:r>
          </w:p>
        </w:tc>
        <w:tc>
          <w:tcPr>
            <w:tcW w:w="1567"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0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w:t>
            </w:r>
          </w:p>
        </w:tc>
        <w:tc>
          <w:tcPr>
            <w:tcW w:w="257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人文与艺术学院</w:t>
            </w:r>
          </w:p>
        </w:tc>
        <w:tc>
          <w:tcPr>
            <w:tcW w:w="1532"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7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56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806"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w:t>
            </w:r>
          </w:p>
        </w:tc>
        <w:tc>
          <w:tcPr>
            <w:tcW w:w="2573"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数学与统计学院</w:t>
            </w:r>
          </w:p>
        </w:tc>
        <w:tc>
          <w:tcPr>
            <w:tcW w:w="1532"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799"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567" w:type="dxa"/>
            <w:tcBorders>
              <w:top w:val="single" w:color="auto" w:sz="4" w:space="0"/>
              <w:left w:val="single" w:color="auto" w:sz="4" w:space="0"/>
              <w:bottom w:val="single" w:color="auto" w:sz="4" w:space="0"/>
              <w:right w:val="single" w:color="auto" w:sz="4" w:space="0"/>
            </w:tcBorders>
            <w:shd w:val="clear" w:color="F2DDDC" w:fill="F2DDD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100%</w:t>
            </w:r>
          </w:p>
        </w:tc>
      </w:tr>
    </w:tbl>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64" w:name="_Toc5675"/>
      <w:bookmarkStart w:id="65" w:name="_Toc18410"/>
      <w:bookmarkStart w:id="66" w:name="_Toc2406"/>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2.2.</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2</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 xml:space="preserve"> 各学科专业毕业生</w:t>
      </w:r>
      <w:r>
        <w:rPr>
          <w:rFonts w:hint="eastAsia" w:ascii="仿宋_GB2312" w:eastAsia="仿宋_GB2312"/>
          <w:color w:val="00B0F0"/>
          <w:sz w:val="28"/>
          <w:szCs w:val="28"/>
          <w:lang w:eastAsia="zh-CN"/>
          <w14:textFill>
            <w14:gradFill>
              <w14:gsLst>
                <w14:gs w14:pos="0">
                  <w14:srgbClr w14:val="007BD3"/>
                </w14:gs>
                <w14:gs w14:pos="100000">
                  <w14:srgbClr w14:val="034373"/>
                </w14:gs>
              </w14:gsLst>
              <w14:lin w14:scaled="0"/>
            </w14:gradFill>
          </w14:textFill>
        </w:rPr>
        <w:t>去向落实情况</w:t>
      </w:r>
      <w:bookmarkEnd w:id="63"/>
      <w:bookmarkEnd w:id="64"/>
      <w:bookmarkEnd w:id="65"/>
      <w:bookmarkEnd w:id="6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从学科专业来看，我校</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共有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w:t>
      </w:r>
      <w:r>
        <w:rPr>
          <w:rFonts w:hint="eastAsia" w:ascii="仿宋_GB2312" w:hAnsi="仿宋_GB2312" w:eastAsia="仿宋_GB2312" w:cs="仿宋_GB2312"/>
          <w:b w:val="0"/>
          <w:bCs w:val="0"/>
          <w:color w:val="000000" w:themeColor="text1"/>
          <w:sz w:val="28"/>
          <w:szCs w:val="28"/>
          <w14:textFill>
            <w14:solidFill>
              <w14:schemeClr w14:val="tx1"/>
            </w14:solidFill>
          </w14:textFill>
        </w:rPr>
        <w:t>个本科专业毕业生，其中，</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房地产开发与管理、金融数学</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初次去向落实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率</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达</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100%，</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工程管理、工程造价、商务英语、</w:t>
      </w:r>
      <w:r>
        <w:rPr>
          <w:rFonts w:hint="eastAsia" w:ascii="仿宋_GB2312" w:hAnsi="仿宋_GB2312" w:eastAsia="仿宋_GB2312" w:cs="仿宋_GB2312"/>
          <w:b w:val="0"/>
          <w:bCs w:val="0"/>
          <w:i w:val="0"/>
          <w:iCs w:val="0"/>
          <w:strike w:val="0"/>
          <w:dstrike w:val="0"/>
          <w:color w:val="000000" w:themeColor="text1"/>
          <w:kern w:val="0"/>
          <w:sz w:val="28"/>
          <w:szCs w:val="28"/>
          <w:u w:val="none"/>
          <w:lang w:val="en-US" w:eastAsia="zh-CN" w:bidi="ar"/>
          <w14:textFill>
            <w14:solidFill>
              <w14:schemeClr w14:val="tx1"/>
            </w14:solidFill>
          </w14:textFill>
        </w:rPr>
        <w:t>信息管理与信息系统和会计学（国）</w:t>
      </w:r>
      <w:r>
        <w:rPr>
          <w:rFonts w:hint="eastAsia" w:ascii="仿宋_GB2312" w:hAnsi="仿宋_GB2312" w:eastAsia="仿宋_GB2312" w:cs="仿宋_GB2312"/>
          <w:b w:val="0"/>
          <w:bCs w:val="0"/>
          <w:color w:val="000000" w:themeColor="text1"/>
          <w:sz w:val="28"/>
          <w:szCs w:val="28"/>
          <w14:textFill>
            <w14:solidFill>
              <w14:schemeClr w14:val="tx1"/>
            </w14:solidFill>
          </w14:textFill>
        </w:rPr>
        <w:t>等毕业生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初次去向落实</w:t>
      </w:r>
      <w:r>
        <w:rPr>
          <w:rFonts w:hint="eastAsia" w:ascii="仿宋_GB2312" w:hAnsi="仿宋_GB2312" w:eastAsia="仿宋_GB2312" w:cs="仿宋_GB2312"/>
          <w:b w:val="0"/>
          <w:bCs w:val="0"/>
          <w:color w:val="000000" w:themeColor="text1"/>
          <w:sz w:val="28"/>
          <w:szCs w:val="28"/>
          <w14:textFill>
            <w14:solidFill>
              <w14:schemeClr w14:val="tx1"/>
            </w14:solidFill>
          </w14:textFill>
        </w:rPr>
        <w:t>率</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达</w:t>
      </w:r>
      <w:r>
        <w:rPr>
          <w:rFonts w:hint="eastAsia" w:ascii="仿宋_GB2312" w:hAnsi="仿宋_GB2312" w:eastAsia="仿宋_GB2312" w:cs="仿宋_GB2312"/>
          <w:b w:val="0"/>
          <w:bCs w:val="0"/>
          <w:color w:val="000000" w:themeColor="text1"/>
          <w:sz w:val="28"/>
          <w:szCs w:val="28"/>
          <w14:textFill>
            <w14:solidFill>
              <w14:schemeClr w14:val="tx1"/>
            </w14:solidFill>
          </w14:textFill>
        </w:rPr>
        <w:t>9</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14:textFill>
            <w14:solidFill>
              <w14:schemeClr w14:val="tx1"/>
            </w14:solidFill>
          </w14:textFill>
        </w:rPr>
        <w:t>%以上</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，具体情况见</w:t>
      </w:r>
      <w:r>
        <w:rPr>
          <w:rFonts w:hint="eastAsia" w:ascii="仿宋_GB2312" w:hAnsi="仿宋_GB2312" w:eastAsia="仿宋_GB2312" w:cs="仿宋_GB2312"/>
          <w:b w:val="0"/>
          <w:bCs w:val="0"/>
          <w:color w:val="000000" w:themeColor="text1"/>
          <w:sz w:val="28"/>
          <w:szCs w:val="28"/>
          <w14:textFill>
            <w14:solidFill>
              <w14:schemeClr w14:val="tx1"/>
            </w14:solidFill>
          </w14:textFill>
        </w:rPr>
        <w:t>表2-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w:t>
      </w:r>
      <w:r>
        <w:rPr>
          <w:rFonts w:hint="eastAsia" w:ascii="仿宋_GB2312" w:hAnsi="仿宋_GB2312" w:eastAsia="仿宋_GB2312" w:cs="仿宋_GB2312"/>
          <w:b/>
          <w:sz w:val="28"/>
          <w:szCs w:val="28"/>
          <w:lang w:val="en-US" w:eastAsia="zh-CN"/>
        </w:rPr>
        <w:t>3</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届各学科专业毕业生</w:t>
      </w:r>
      <w:r>
        <w:rPr>
          <w:rFonts w:hint="eastAsia" w:ascii="仿宋_GB2312" w:hAnsi="仿宋_GB2312" w:eastAsia="仿宋_GB2312" w:cs="仿宋_GB2312"/>
          <w:b/>
          <w:sz w:val="28"/>
          <w:szCs w:val="28"/>
          <w:lang w:eastAsia="zh-CN"/>
        </w:rPr>
        <w:t>去向落实情况</w:t>
      </w:r>
      <w:r>
        <w:rPr>
          <w:rFonts w:hint="eastAsia" w:ascii="仿宋_GB2312" w:hAnsi="仿宋_GB2312" w:eastAsia="仿宋_GB2312" w:cs="仿宋_GB2312"/>
          <w:b/>
          <w:sz w:val="28"/>
          <w:szCs w:val="28"/>
        </w:rPr>
        <w:t>统计表</w:t>
      </w:r>
    </w:p>
    <w:tbl>
      <w:tblPr>
        <w:tblStyle w:val="17"/>
        <w:tblW w:w="82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2676"/>
        <w:gridCol w:w="1320"/>
        <w:gridCol w:w="1907"/>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blHeader/>
        </w:trPr>
        <w:tc>
          <w:tcPr>
            <w:tcW w:w="791" w:type="dxa"/>
            <w:tcBorders>
              <w:top w:val="single" w:color="000000" w:sz="4" w:space="0"/>
              <w:left w:val="single" w:color="000000" w:sz="4" w:space="0"/>
              <w:bottom w:val="single" w:color="000000" w:sz="4" w:space="0"/>
              <w:right w:val="single" w:color="000000" w:sz="4" w:space="0"/>
            </w:tcBorders>
            <w:shd w:val="clear" w:color="9BBB59" w:fill="9BBB5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000000"/>
                <w:sz w:val="24"/>
                <w:szCs w:val="24"/>
                <w:u w:val="none"/>
              </w:rPr>
            </w:pPr>
            <w:r>
              <w:rPr>
                <w:rFonts w:hint="eastAsia" w:ascii="仿宋_GB2312" w:hAnsi="仿宋_GB2312" w:eastAsia="仿宋_GB2312" w:cs="仿宋_GB2312"/>
                <w:b/>
                <w:bCs/>
                <w:i w:val="0"/>
                <w:iCs w:val="0"/>
                <w:strike w:val="0"/>
                <w:dstrike w:val="0"/>
                <w:color w:val="000000"/>
                <w:kern w:val="0"/>
                <w:sz w:val="24"/>
                <w:szCs w:val="24"/>
                <w:u w:val="none"/>
                <w:lang w:val="en-US" w:eastAsia="zh-CN" w:bidi="ar"/>
              </w:rPr>
              <w:t>序号</w:t>
            </w:r>
          </w:p>
        </w:tc>
        <w:tc>
          <w:tcPr>
            <w:tcW w:w="2676" w:type="dxa"/>
            <w:tcBorders>
              <w:top w:val="single" w:color="000000" w:sz="4" w:space="0"/>
              <w:left w:val="single" w:color="000000" w:sz="4" w:space="0"/>
              <w:bottom w:val="single" w:color="000000" w:sz="4" w:space="0"/>
              <w:right w:val="single" w:color="000000" w:sz="4" w:space="0"/>
            </w:tcBorders>
            <w:shd w:val="clear" w:color="9BBB59" w:fill="9BBB5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000000"/>
                <w:sz w:val="24"/>
                <w:szCs w:val="24"/>
                <w:u w:val="none"/>
              </w:rPr>
            </w:pPr>
            <w:r>
              <w:rPr>
                <w:rFonts w:hint="eastAsia" w:ascii="仿宋_GB2312" w:hAnsi="仿宋_GB2312" w:eastAsia="仿宋_GB2312" w:cs="仿宋_GB2312"/>
                <w:b/>
                <w:bCs/>
                <w:i w:val="0"/>
                <w:iCs w:val="0"/>
                <w:strike w:val="0"/>
                <w:dstrike w:val="0"/>
                <w:color w:val="000000"/>
                <w:kern w:val="0"/>
                <w:sz w:val="24"/>
                <w:szCs w:val="24"/>
                <w:u w:val="none"/>
                <w:lang w:val="en-US" w:eastAsia="zh-CN" w:bidi="ar"/>
              </w:rPr>
              <w:t>专业名称</w:t>
            </w:r>
          </w:p>
        </w:tc>
        <w:tc>
          <w:tcPr>
            <w:tcW w:w="1320" w:type="dxa"/>
            <w:tcBorders>
              <w:top w:val="single" w:color="000000" w:sz="4" w:space="0"/>
              <w:left w:val="single" w:color="000000" w:sz="4" w:space="0"/>
              <w:bottom w:val="single" w:color="000000" w:sz="4" w:space="0"/>
              <w:right w:val="single" w:color="000000" w:sz="4" w:space="0"/>
            </w:tcBorders>
            <w:shd w:val="clear" w:color="9BBB59" w:fill="9BBB5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000000"/>
                <w:sz w:val="24"/>
                <w:szCs w:val="24"/>
                <w:u w:val="none"/>
              </w:rPr>
            </w:pPr>
            <w:r>
              <w:rPr>
                <w:rFonts w:hint="eastAsia" w:ascii="仿宋_GB2312" w:hAnsi="仿宋_GB2312" w:eastAsia="仿宋_GB2312" w:cs="仿宋_GB2312"/>
                <w:b/>
                <w:bCs/>
                <w:i w:val="0"/>
                <w:iCs w:val="0"/>
                <w:strike w:val="0"/>
                <w:dstrike w:val="0"/>
                <w:color w:val="000000"/>
                <w:kern w:val="0"/>
                <w:sz w:val="24"/>
                <w:szCs w:val="24"/>
                <w:u w:val="none"/>
                <w:lang w:val="en-US" w:eastAsia="zh-CN" w:bidi="ar"/>
              </w:rPr>
              <w:t>毕业人数</w:t>
            </w:r>
          </w:p>
        </w:tc>
        <w:tc>
          <w:tcPr>
            <w:tcW w:w="1907" w:type="dxa"/>
            <w:tcBorders>
              <w:top w:val="single" w:color="000000" w:sz="4" w:space="0"/>
              <w:left w:val="single" w:color="000000" w:sz="4" w:space="0"/>
              <w:bottom w:val="single" w:color="000000" w:sz="4" w:space="0"/>
              <w:right w:val="single" w:color="000000" w:sz="4" w:space="0"/>
            </w:tcBorders>
            <w:shd w:val="clear" w:color="9BBB59" w:fill="9BBB5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000000"/>
                <w:sz w:val="24"/>
                <w:szCs w:val="24"/>
                <w:u w:val="none"/>
              </w:rPr>
            </w:pPr>
            <w:r>
              <w:rPr>
                <w:rFonts w:hint="eastAsia" w:ascii="仿宋_GB2312" w:hAnsi="仿宋_GB2312" w:eastAsia="仿宋_GB2312" w:cs="仿宋_GB2312"/>
                <w:b/>
                <w:bCs/>
                <w:i w:val="0"/>
                <w:iCs w:val="0"/>
                <w:strike w:val="0"/>
                <w:dstrike w:val="0"/>
                <w:color w:val="000000"/>
                <w:kern w:val="0"/>
                <w:sz w:val="24"/>
                <w:szCs w:val="24"/>
                <w:u w:val="none"/>
                <w:lang w:val="en-US" w:eastAsia="zh-CN" w:bidi="ar"/>
              </w:rPr>
              <w:t>去向落实人数</w:t>
            </w:r>
          </w:p>
        </w:tc>
        <w:tc>
          <w:tcPr>
            <w:tcW w:w="1584" w:type="dxa"/>
            <w:tcBorders>
              <w:top w:val="single" w:color="000000" w:sz="4" w:space="0"/>
              <w:left w:val="single" w:color="000000" w:sz="4" w:space="0"/>
              <w:bottom w:val="single" w:color="000000" w:sz="4" w:space="0"/>
              <w:right w:val="single" w:color="000000" w:sz="4" w:space="0"/>
            </w:tcBorders>
            <w:shd w:val="clear" w:color="9BBB59" w:fill="9BBB5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000000"/>
                <w:sz w:val="24"/>
                <w:szCs w:val="24"/>
                <w:u w:val="none"/>
              </w:rPr>
            </w:pPr>
            <w:r>
              <w:rPr>
                <w:rFonts w:hint="eastAsia" w:ascii="仿宋_GB2312" w:hAnsi="仿宋_GB2312" w:eastAsia="仿宋_GB2312" w:cs="仿宋_GB2312"/>
                <w:b/>
                <w:bCs/>
                <w:i w:val="0"/>
                <w:iCs w:val="0"/>
                <w:strike w:val="0"/>
                <w:dstrike w:val="0"/>
                <w:color w:val="000000"/>
                <w:kern w:val="0"/>
                <w:sz w:val="24"/>
                <w:szCs w:val="24"/>
                <w:u w:val="none"/>
                <w:lang w:val="en-US" w:eastAsia="zh-CN" w:bidi="ar"/>
              </w:rPr>
              <w:t>去向落实率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国际经济与贸易</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208</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186</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商务经济学</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45</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41</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国际商务</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财政学</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82</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65</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金融学</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356</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290</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投资学</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税收学</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31</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会计学</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775</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667</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财务管理</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162</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143</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审计学</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97</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房地产开发与管理</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40</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40</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12</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工程管理</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40</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13</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工程造价</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136</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133</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14</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土地资源管理</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45</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41</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15</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英语</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84</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77</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商务英语</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114</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110</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翻译</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45</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41</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日语</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41</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19</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信息管理与信息系统</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44</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20</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计算机科学与技术</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169</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155</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21</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电子商务</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126</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107</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22</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电子信息工程</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50</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47</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23</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市场营销</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171</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155</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24</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物流管理</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88</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81</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人力资源管理</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92</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78</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26</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会计学（国）</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112</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108</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27</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行政管理</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91</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81</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28</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劳动与社会保障</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45</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38</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791"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29</w:t>
            </w:r>
          </w:p>
        </w:tc>
        <w:tc>
          <w:tcPr>
            <w:tcW w:w="2676"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网络与新媒体</w:t>
            </w:r>
          </w:p>
        </w:tc>
        <w:tc>
          <w:tcPr>
            <w:tcW w:w="1320"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92</w:t>
            </w:r>
          </w:p>
        </w:tc>
        <w:tc>
          <w:tcPr>
            <w:tcW w:w="1907"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85</w:t>
            </w:r>
          </w:p>
        </w:tc>
        <w:tc>
          <w:tcPr>
            <w:tcW w:w="1584" w:type="dxa"/>
            <w:tcBorders>
              <w:top w:val="single" w:color="000000" w:sz="4" w:space="0"/>
              <w:left w:val="single" w:color="000000" w:sz="4" w:space="0"/>
              <w:bottom w:val="single" w:color="000000" w:sz="4" w:space="0"/>
              <w:right w:val="single" w:color="000000" w:sz="4" w:space="0"/>
            </w:tcBorders>
            <w:shd w:val="clear" w:color="D7E4BC" w:fill="D7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791"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30</w:t>
            </w:r>
          </w:p>
        </w:tc>
        <w:tc>
          <w:tcPr>
            <w:tcW w:w="2676"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金融数学</w:t>
            </w:r>
          </w:p>
        </w:tc>
        <w:tc>
          <w:tcPr>
            <w:tcW w:w="1320"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907"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46</w:t>
            </w:r>
          </w:p>
        </w:tc>
        <w:tc>
          <w:tcPr>
            <w:tcW w:w="1584" w:type="dxa"/>
            <w:tcBorders>
              <w:top w:val="single" w:color="000000" w:sz="4" w:space="0"/>
              <w:left w:val="single" w:color="000000" w:sz="4" w:space="0"/>
              <w:bottom w:val="single" w:color="000000" w:sz="4" w:space="0"/>
              <w:right w:val="single" w:color="000000" w:sz="4" w:space="0"/>
            </w:tcBorders>
            <w:shd w:val="clear" w:color="EAF1DD" w:fill="EAF1DD"/>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100.00%</w:t>
            </w:r>
          </w:p>
        </w:tc>
      </w:tr>
    </w:tbl>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pPr>
      <w:bookmarkStart w:id="67" w:name="_Toc2108"/>
      <w:bookmarkStart w:id="68" w:name="_Toc30522"/>
      <w:bookmarkStart w:id="69" w:name="_Toc781"/>
      <w:bookmarkStart w:id="70" w:name="_Toc19894"/>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2.2.3 未就业情况分析</w:t>
      </w:r>
      <w:bookmarkEnd w:id="67"/>
      <w:bookmarkEnd w:id="68"/>
      <w:bookmarkEnd w:id="69"/>
    </w:p>
    <w:p>
      <w:pPr>
        <w:pStyle w:val="94"/>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2021年，</w:t>
      </w:r>
      <w:r>
        <w:rPr>
          <w:rFonts w:hint="eastAsia" w:ascii="仿宋_GB2312" w:hAnsi="仿宋_GB2312" w:eastAsia="仿宋_GB2312" w:cs="仿宋_GB2312"/>
          <w:b w:val="0"/>
          <w:bCs w:val="0"/>
          <w:color w:val="000000" w:themeColor="text1"/>
          <w:sz w:val="28"/>
          <w:szCs w:val="28"/>
          <w14:textFill>
            <w14:solidFill>
              <w14:schemeClr w14:val="tx1"/>
            </w14:solidFill>
          </w14:textFill>
        </w:rPr>
        <w:t>截止8月31日，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我校共</w:t>
      </w:r>
      <w:r>
        <w:rPr>
          <w:rFonts w:hint="eastAsia" w:ascii="仿宋_GB2312" w:hAnsi="仿宋_GB2312" w:eastAsia="仿宋_GB2312" w:cs="仿宋_GB2312"/>
          <w:b w:val="0"/>
          <w:bCs w:val="0"/>
          <w:color w:val="000000" w:themeColor="text1"/>
          <w:sz w:val="28"/>
          <w:szCs w:val="28"/>
          <w14:textFill>
            <w14:solidFill>
              <w14:schemeClr w14:val="tx1"/>
            </w14:solidFill>
          </w14:textFill>
        </w:rPr>
        <w:t>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395</w:t>
      </w:r>
      <w:r>
        <w:rPr>
          <w:rFonts w:hint="eastAsia" w:ascii="仿宋_GB2312" w:hAnsi="仿宋_GB2312" w:eastAsia="仿宋_GB2312" w:cs="仿宋_GB2312"/>
          <w:b w:val="0"/>
          <w:bCs w:val="0"/>
          <w:color w:val="000000" w:themeColor="text1"/>
          <w:sz w:val="28"/>
          <w:szCs w:val="28"/>
          <w14:textFill>
            <w14:solidFill>
              <w14:schemeClr w14:val="tx1"/>
            </w14:solidFill>
          </w14:textFill>
        </w:rPr>
        <w:t>人暂未就业，占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11.18</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学校配合湖南省大中专毕业生就业指导中心第三方评价机构，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组织</w:t>
      </w:r>
      <w:r>
        <w:rPr>
          <w:rFonts w:hint="eastAsia" w:ascii="仿宋_GB2312" w:hAnsi="仿宋_GB2312" w:eastAsia="仿宋_GB2312" w:cs="仿宋_GB2312"/>
          <w:b w:val="0"/>
          <w:bCs w:val="0"/>
          <w:color w:val="000000" w:themeColor="text1"/>
          <w:sz w:val="28"/>
          <w:szCs w:val="28"/>
          <w14:textFill>
            <w14:solidFill>
              <w14:schemeClr w14:val="tx1"/>
            </w14:solidFill>
          </w14:textFill>
        </w:rPr>
        <w:t>我校20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届未就业毕业生以调研问卷的形式</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对“</w:t>
      </w:r>
      <w:r>
        <w:rPr>
          <w:rFonts w:hint="eastAsia" w:ascii="仿宋_GB2312" w:hAnsi="仿宋_GB2312" w:eastAsia="仿宋_GB2312" w:cs="仿宋_GB2312"/>
          <w:color w:val="000000" w:themeColor="text1"/>
          <w:sz w:val="28"/>
          <w:szCs w:val="28"/>
          <w14:textFill>
            <w14:solidFill>
              <w14:schemeClr w14:val="tx1"/>
            </w14:solidFill>
          </w14:textFill>
        </w:rPr>
        <w:t>目前尚未就业的原因</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”在网上进行问卷调查评价，共收回有效问卷</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216份，其中，</w:t>
      </w:r>
      <w:r>
        <w:rPr>
          <w:rFonts w:hint="eastAsia" w:ascii="仿宋_GB2312" w:hAnsi="仿宋_GB2312" w:eastAsia="仿宋_GB2312" w:cs="仿宋_GB2312"/>
          <w:bCs/>
          <w:color w:val="000000" w:themeColor="text1"/>
          <w:sz w:val="28"/>
          <w:szCs w:val="28"/>
          <w14:textFill>
            <w14:solidFill>
              <w14:schemeClr w14:val="tx1"/>
            </w14:solidFill>
          </w14:textFill>
        </w:rPr>
        <w:t>拟参加公招考试</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准备参加公务员、事业单位公开招录考试</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）的有</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105人</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，占未就业总人数</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26.58%；拟创业（准备创业，尚未在工商行政管理部门注册登记，拟创立的实体尚未开始实际运</w:t>
      </w:r>
      <w:r>
        <w:rPr>
          <w:rFonts w:hint="eastAsia" w:ascii="仿宋_GB2312" w:hAnsi="仿宋_GB2312" w:eastAsia="仿宋_GB2312" w:cs="仿宋_GB2312"/>
          <w:bCs/>
          <w:color w:val="000000" w:themeColor="text1"/>
          <w:sz w:val="28"/>
          <w:szCs w:val="28"/>
          <w14:textFill>
            <w14:solidFill>
              <w14:schemeClr w14:val="tx1"/>
            </w14:solidFill>
          </w14:textFill>
        </w:rPr>
        <w:t>营</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的</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1人，</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占未就业总人数</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 xml:space="preserve"> 0.25%；7人在</w:t>
      </w:r>
      <w:r>
        <w:rPr>
          <w:rFonts w:hint="eastAsia" w:ascii="仿宋_GB2312" w:hAnsi="仿宋_GB2312" w:eastAsia="仿宋_GB2312" w:cs="仿宋_GB2312"/>
          <w:bCs/>
          <w:color w:val="000000" w:themeColor="text1"/>
          <w:sz w:val="28"/>
          <w:szCs w:val="28"/>
          <w14:textFill>
            <w14:solidFill>
              <w14:schemeClr w14:val="tx1"/>
            </w14:solidFill>
          </w14:textFill>
        </w:rPr>
        <w:t>签约中</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14:textFill>
            <w14:solidFill>
              <w14:schemeClr w14:val="tx1"/>
            </w14:solidFill>
          </w14:textFill>
        </w:rPr>
        <w:t>已确定就业意向，准备正式签订协议或合同</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），占未就业总人数</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1.77 %；103人</w:t>
      </w:r>
      <w:r>
        <w:rPr>
          <w:rFonts w:hint="eastAsia" w:ascii="仿宋_GB2312" w:hAnsi="仿宋_GB2312" w:eastAsia="仿宋_GB2312" w:cs="仿宋_GB2312"/>
          <w:bCs/>
          <w:color w:val="000000" w:themeColor="text1"/>
          <w:sz w:val="28"/>
          <w:szCs w:val="28"/>
          <w14:textFill>
            <w14:solidFill>
              <w14:schemeClr w14:val="tx1"/>
            </w14:solidFill>
          </w14:textFill>
        </w:rPr>
        <w:t>求职中</w:t>
      </w:r>
      <w:r>
        <w:rPr>
          <w:rFonts w:hint="eastAsia" w:ascii="仿宋_GB2312" w:hAnsi="仿宋_GB2312" w:eastAsia="仿宋_GB2312" w:cs="仿宋_GB2312"/>
          <w:bCs/>
          <w:color w:val="000000" w:themeColor="text1"/>
          <w:sz w:val="28"/>
          <w:szCs w:val="28"/>
          <w:lang w:eastAsia="zh-CN"/>
          <w14:textFill>
            <w14:solidFill>
              <w14:schemeClr w14:val="tx1"/>
            </w14:solidFill>
          </w14:textFill>
        </w:rPr>
        <w:t>，占未就业总人数</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 xml:space="preserve"> 26.08%</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调查详细情况</w:t>
      </w:r>
      <w:r>
        <w:rPr>
          <w:rFonts w:hint="eastAsia" w:ascii="仿宋_GB2312" w:hAnsi="仿宋_GB2312" w:eastAsia="仿宋_GB2312" w:cs="仿宋_GB2312"/>
          <w:b w:val="0"/>
          <w:bCs w:val="0"/>
          <w:color w:val="000000" w:themeColor="text1"/>
          <w:sz w:val="28"/>
          <w:szCs w:val="28"/>
          <w14:textFill>
            <w14:solidFill>
              <w14:schemeClr w14:val="tx1"/>
            </w14:solidFill>
          </w14:textFill>
        </w:rPr>
        <w:t>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图</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2-2。</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eastAsia="zh-CN"/>
        </w:rPr>
        <w:t>图</w:t>
      </w:r>
      <w:r>
        <w:rPr>
          <w:rFonts w:hint="eastAsia" w:ascii="仿宋_GB2312" w:hAnsi="仿宋_GB2312" w:eastAsia="仿宋_GB2312" w:cs="仿宋_GB2312"/>
          <w:b/>
          <w:sz w:val="28"/>
          <w:szCs w:val="28"/>
          <w:lang w:val="en-US" w:eastAsia="zh-CN"/>
        </w:rPr>
        <w:t>2-2  2021届未就业毕业生情况分析图</w:t>
      </w:r>
    </w:p>
    <w:p>
      <w:pPr>
        <w:pStyle w:val="94"/>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outlineLvl w:val="9"/>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drawing>
          <wp:inline distT="0" distB="0" distL="114300" distR="114300">
            <wp:extent cx="5260975" cy="3037840"/>
            <wp:effectExtent l="0" t="0" r="1587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60975" cy="3037840"/>
                    </a:xfrm>
                    <a:prstGeom prst="rect">
                      <a:avLst/>
                    </a:prstGeom>
                    <a:noFill/>
                    <a:ln>
                      <a:noFill/>
                    </a:ln>
                  </pic:spPr>
                </pic:pic>
              </a:graphicData>
            </a:graphic>
          </wp:inline>
        </w:drawing>
      </w:r>
    </w:p>
    <w:p>
      <w:pPr>
        <w:pStyle w:val="94"/>
        <w:ind w:firstLine="0" w:firstLineChars="0"/>
        <w:outlineLvl w:val="1"/>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pPr>
      <w:bookmarkStart w:id="71" w:name="_Toc2871"/>
      <w:bookmarkStart w:id="72" w:name="_Toc24671"/>
      <w:bookmarkStart w:id="73" w:name="_Toc4937"/>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2.3</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仿宋_GB2312" w:hAnsi="仿宋_GB2312" w:eastAsia="仿宋_GB2312" w:cs="仿宋_GB2312"/>
          <w:b/>
          <w:color w:val="00B0F0"/>
          <w:sz w:val="28"/>
          <w:szCs w:val="28"/>
          <w14:textFill>
            <w14:gradFill>
              <w14:gsLst>
                <w14:gs w14:pos="0">
                  <w14:srgbClr w14:val="007BD3"/>
                </w14:gs>
                <w14:gs w14:pos="100000">
                  <w14:srgbClr w14:val="034373"/>
                </w14:gs>
              </w14:gsLst>
              <w14:lin w14:scaled="0"/>
            </w14:gradFill>
          </w14:textFill>
        </w:rPr>
        <w:t>毕业生就业结构</w:t>
      </w:r>
      <w:bookmarkEnd w:id="70"/>
      <w:bookmarkEnd w:id="71"/>
      <w:bookmarkEnd w:id="72"/>
      <w:bookmarkEnd w:id="73"/>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74" w:name="_Toc29004"/>
      <w:bookmarkStart w:id="75" w:name="_Toc17367"/>
      <w:bookmarkStart w:id="76" w:name="_Toc6692"/>
      <w:bookmarkStart w:id="77" w:name="_Toc5994"/>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2.3.1 就业地域分布</w:t>
      </w:r>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从统计数据可见：我校毕业生就业地域流向主要集中在湖南地区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占</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就业总人数</w:t>
      </w:r>
      <w:r>
        <w:rPr>
          <w:rFonts w:hint="eastAsia" w:ascii="仿宋_GB2312" w:hAnsi="仿宋_GB2312" w:eastAsia="仿宋_GB2312" w:cs="仿宋_GB2312"/>
          <w:b w:val="0"/>
          <w:bCs w:val="0"/>
          <w:color w:val="000000" w:themeColor="text1"/>
          <w:sz w:val="28"/>
          <w:szCs w:val="28"/>
          <w14:textFill>
            <w14:solidFill>
              <w14:schemeClr w14:val="tx1"/>
            </w14:solidFill>
          </w14:textFill>
        </w:rPr>
        <w:t>6</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9.48</w:t>
      </w:r>
      <w:r>
        <w:rPr>
          <w:rFonts w:hint="eastAsia" w:ascii="仿宋_GB2312" w:hAnsi="仿宋_GB2312" w:eastAsia="仿宋_GB2312" w:cs="仿宋_GB2312"/>
          <w:b w:val="0"/>
          <w:bCs w:val="0"/>
          <w:color w:val="000000" w:themeColor="text1"/>
          <w:sz w:val="28"/>
          <w:szCs w:val="28"/>
          <w14:textFill>
            <w14:solidFill>
              <w14:schemeClr w14:val="tx1"/>
            </w14:solidFill>
          </w14:textFill>
        </w:rPr>
        <w:t>%，近年来，由于学校就业工作的深入开展，毕业生就业地区由原来相对集中在湖南地区，发展到覆盖全国</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33</w:t>
      </w:r>
      <w:r>
        <w:rPr>
          <w:rFonts w:hint="eastAsia" w:ascii="仿宋_GB2312" w:hAnsi="仿宋_GB2312" w:eastAsia="仿宋_GB2312" w:cs="仿宋_GB2312"/>
          <w:b w:val="0"/>
          <w:bCs w:val="0"/>
          <w:color w:val="000000" w:themeColor="text1"/>
          <w:sz w:val="28"/>
          <w:szCs w:val="28"/>
          <w14:textFill>
            <w14:solidFill>
              <w14:schemeClr w14:val="tx1"/>
            </w14:solidFill>
          </w14:textFill>
        </w:rPr>
        <w:t>个省市、自治区，逐步形成了以长株潭地区为中心，向珠三角、长三角等沿海地区及中西部地区辐射的就业格局。这主要与生源结构和区域经济发展水平紧密相关，也进一步体现了我校立足湖南，服务全国的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办学</w:t>
      </w:r>
      <w:r>
        <w:rPr>
          <w:rFonts w:hint="eastAsia" w:ascii="仿宋_GB2312" w:hAnsi="仿宋_GB2312" w:eastAsia="仿宋_GB2312" w:cs="仿宋_GB2312"/>
          <w:b w:val="0"/>
          <w:bCs w:val="0"/>
          <w:color w:val="000000" w:themeColor="text1"/>
          <w:sz w:val="28"/>
          <w:szCs w:val="28"/>
          <w14:textFill>
            <w14:solidFill>
              <w14:schemeClr w14:val="tx1"/>
            </w14:solidFill>
          </w14:textFill>
        </w:rPr>
        <w:t>定位，具体情况详见表2-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w:t>
      </w:r>
      <w:r>
        <w:rPr>
          <w:rFonts w:hint="eastAsia" w:ascii="仿宋_GB2312" w:hAnsi="仿宋_GB2312" w:eastAsia="仿宋_GB2312" w:cs="仿宋_GB2312"/>
          <w:b/>
          <w:sz w:val="28"/>
          <w:szCs w:val="28"/>
          <w:lang w:val="en-US" w:eastAsia="zh-CN"/>
        </w:rPr>
        <w:t>4  2021届毕业生</w:t>
      </w:r>
      <w:r>
        <w:rPr>
          <w:rFonts w:hint="eastAsia" w:ascii="仿宋_GB2312" w:hAnsi="仿宋_GB2312" w:eastAsia="仿宋_GB2312" w:cs="仿宋_GB2312"/>
          <w:b/>
          <w:sz w:val="28"/>
          <w:szCs w:val="28"/>
        </w:rPr>
        <w:t>就业地区流向统计表</w:t>
      </w:r>
    </w:p>
    <w:tbl>
      <w:tblPr>
        <w:tblStyle w:val="17"/>
        <w:tblW w:w="82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1"/>
        <w:gridCol w:w="1094"/>
        <w:gridCol w:w="1405"/>
        <w:gridCol w:w="1404"/>
        <w:gridCol w:w="1218"/>
        <w:gridCol w:w="1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6" w:hRule="atLeast"/>
        </w:trPr>
        <w:tc>
          <w:tcPr>
            <w:tcW w:w="1391" w:type="dxa"/>
            <w:tcBorders>
              <w:top w:val="single" w:color="C0504D" w:sz="4" w:space="0"/>
              <w:left w:val="single" w:color="C0504D" w:sz="4" w:space="0"/>
              <w:bottom w:val="nil"/>
              <w:right w:val="nil"/>
            </w:tcBorders>
            <w:shd w:val="clear" w:color="C0504D" w:fill="C0504D"/>
            <w:vAlign w:val="center"/>
          </w:tcPr>
          <w:p>
            <w:pPr>
              <w:keepNext w:val="0"/>
              <w:keepLines w:val="0"/>
              <w:widowControl/>
              <w:suppressLineNumbers w:val="0"/>
              <w:jc w:val="center"/>
              <w:textAlignment w:val="center"/>
              <w:outlineLvl w:val="9"/>
              <w:rPr>
                <w:rFonts w:hint="eastAsia" w:ascii="仿宋_GB2312" w:hAnsi="仿宋_GB2312" w:eastAsia="仿宋_GB2312" w:cs="仿宋_GB2312"/>
                <w:b/>
                <w:bCs/>
                <w:i w:val="0"/>
                <w:iCs w:val="0"/>
                <w:color w:val="FFFFFF"/>
                <w:sz w:val="24"/>
                <w:szCs w:val="24"/>
                <w:u w:val="none"/>
              </w:rPr>
            </w:pPr>
            <w:r>
              <w:rPr>
                <w:rFonts w:hint="eastAsia" w:ascii="仿宋_GB2312" w:hAnsi="仿宋_GB2312" w:eastAsia="仿宋_GB2312" w:cs="仿宋_GB2312"/>
                <w:b/>
                <w:bCs/>
                <w:i w:val="0"/>
                <w:iCs w:val="0"/>
                <w:color w:val="FFFFFF"/>
                <w:kern w:val="0"/>
                <w:sz w:val="24"/>
                <w:szCs w:val="24"/>
                <w:u w:val="none"/>
                <w:lang w:val="en-US" w:eastAsia="zh-CN" w:bidi="ar"/>
              </w:rPr>
              <w:t>地区</w:t>
            </w:r>
          </w:p>
        </w:tc>
        <w:tc>
          <w:tcPr>
            <w:tcW w:w="1094" w:type="dxa"/>
            <w:tcBorders>
              <w:top w:val="single" w:color="C0504D" w:sz="4" w:space="0"/>
              <w:left w:val="nil"/>
              <w:bottom w:val="nil"/>
              <w:right w:val="nil"/>
            </w:tcBorders>
            <w:shd w:val="clear" w:color="C0504D" w:fill="C0504D"/>
            <w:vAlign w:val="center"/>
          </w:tcPr>
          <w:p>
            <w:pPr>
              <w:keepNext w:val="0"/>
              <w:keepLines w:val="0"/>
              <w:widowControl/>
              <w:suppressLineNumbers w:val="0"/>
              <w:jc w:val="center"/>
              <w:textAlignment w:val="center"/>
              <w:outlineLvl w:val="9"/>
              <w:rPr>
                <w:rFonts w:hint="eastAsia" w:ascii="仿宋_GB2312" w:hAnsi="仿宋_GB2312" w:eastAsia="仿宋_GB2312" w:cs="仿宋_GB2312"/>
                <w:b/>
                <w:bCs/>
                <w:i w:val="0"/>
                <w:iCs w:val="0"/>
                <w:color w:val="FFFFFF"/>
                <w:sz w:val="24"/>
                <w:szCs w:val="24"/>
                <w:u w:val="none"/>
              </w:rPr>
            </w:pPr>
            <w:r>
              <w:rPr>
                <w:rFonts w:hint="eastAsia" w:ascii="仿宋_GB2312" w:hAnsi="仿宋_GB2312" w:eastAsia="仿宋_GB2312" w:cs="仿宋_GB2312"/>
                <w:b/>
                <w:bCs/>
                <w:i w:val="0"/>
                <w:iCs w:val="0"/>
                <w:color w:val="FFFFFF"/>
                <w:kern w:val="0"/>
                <w:sz w:val="24"/>
                <w:szCs w:val="24"/>
                <w:u w:val="none"/>
                <w:lang w:val="en-US" w:eastAsia="zh-CN" w:bidi="ar"/>
              </w:rPr>
              <w:t>人数</w:t>
            </w:r>
          </w:p>
        </w:tc>
        <w:tc>
          <w:tcPr>
            <w:tcW w:w="1405" w:type="dxa"/>
            <w:tcBorders>
              <w:top w:val="single" w:color="C0504D" w:sz="4" w:space="0"/>
              <w:left w:val="nil"/>
              <w:bottom w:val="nil"/>
              <w:right w:val="nil"/>
            </w:tcBorders>
            <w:shd w:val="clear" w:color="C0504D" w:fill="C0504D"/>
            <w:vAlign w:val="center"/>
          </w:tcPr>
          <w:p>
            <w:pPr>
              <w:keepNext w:val="0"/>
              <w:keepLines w:val="0"/>
              <w:widowControl/>
              <w:suppressLineNumbers w:val="0"/>
              <w:jc w:val="center"/>
              <w:textAlignment w:val="center"/>
              <w:outlineLvl w:val="9"/>
              <w:rPr>
                <w:rFonts w:hint="eastAsia" w:ascii="仿宋_GB2312" w:hAnsi="仿宋_GB2312" w:eastAsia="仿宋_GB2312" w:cs="仿宋_GB2312"/>
                <w:b/>
                <w:bCs/>
                <w:i w:val="0"/>
                <w:iCs w:val="0"/>
                <w:color w:val="FFFFFF"/>
                <w:sz w:val="24"/>
                <w:szCs w:val="24"/>
                <w:u w:val="none"/>
              </w:rPr>
            </w:pPr>
            <w:r>
              <w:rPr>
                <w:rFonts w:hint="eastAsia" w:ascii="仿宋_GB2312" w:hAnsi="仿宋_GB2312" w:eastAsia="仿宋_GB2312" w:cs="仿宋_GB2312"/>
                <w:b/>
                <w:bCs/>
                <w:i w:val="0"/>
                <w:iCs w:val="0"/>
                <w:color w:val="FFFFFF"/>
                <w:kern w:val="0"/>
                <w:sz w:val="24"/>
                <w:szCs w:val="24"/>
                <w:u w:val="none"/>
                <w:lang w:val="en-US" w:eastAsia="zh-CN" w:bidi="ar"/>
              </w:rPr>
              <w:t>比例</w:t>
            </w:r>
          </w:p>
        </w:tc>
        <w:tc>
          <w:tcPr>
            <w:tcW w:w="1404" w:type="dxa"/>
            <w:tcBorders>
              <w:top w:val="single" w:color="C0504D" w:sz="4" w:space="0"/>
              <w:left w:val="nil"/>
              <w:bottom w:val="nil"/>
              <w:right w:val="nil"/>
            </w:tcBorders>
            <w:shd w:val="clear" w:color="C0504D" w:fill="C0504D"/>
            <w:vAlign w:val="center"/>
          </w:tcPr>
          <w:p>
            <w:pPr>
              <w:keepNext w:val="0"/>
              <w:keepLines w:val="0"/>
              <w:widowControl/>
              <w:suppressLineNumbers w:val="0"/>
              <w:jc w:val="center"/>
              <w:textAlignment w:val="center"/>
              <w:outlineLvl w:val="9"/>
              <w:rPr>
                <w:rFonts w:hint="eastAsia" w:ascii="仿宋_GB2312" w:hAnsi="仿宋_GB2312" w:eastAsia="仿宋_GB2312" w:cs="仿宋_GB2312"/>
                <w:b/>
                <w:bCs/>
                <w:i w:val="0"/>
                <w:iCs w:val="0"/>
                <w:color w:val="FFFFFF"/>
                <w:sz w:val="24"/>
                <w:szCs w:val="24"/>
                <w:u w:val="none"/>
              </w:rPr>
            </w:pPr>
            <w:r>
              <w:rPr>
                <w:rFonts w:hint="eastAsia" w:ascii="仿宋_GB2312" w:hAnsi="仿宋_GB2312" w:eastAsia="仿宋_GB2312" w:cs="仿宋_GB2312"/>
                <w:b/>
                <w:bCs/>
                <w:i w:val="0"/>
                <w:iCs w:val="0"/>
                <w:color w:val="FFFFFF"/>
                <w:kern w:val="0"/>
                <w:sz w:val="24"/>
                <w:szCs w:val="24"/>
                <w:u w:val="none"/>
                <w:lang w:val="en-US" w:eastAsia="zh-CN" w:bidi="ar"/>
              </w:rPr>
              <w:t>地区</w:t>
            </w:r>
          </w:p>
        </w:tc>
        <w:tc>
          <w:tcPr>
            <w:tcW w:w="1218" w:type="dxa"/>
            <w:tcBorders>
              <w:top w:val="single" w:color="C0504D" w:sz="4" w:space="0"/>
              <w:left w:val="nil"/>
              <w:bottom w:val="nil"/>
              <w:right w:val="nil"/>
            </w:tcBorders>
            <w:shd w:val="clear" w:color="C0504D" w:fill="C0504D"/>
            <w:vAlign w:val="center"/>
          </w:tcPr>
          <w:p>
            <w:pPr>
              <w:keepNext w:val="0"/>
              <w:keepLines w:val="0"/>
              <w:widowControl/>
              <w:suppressLineNumbers w:val="0"/>
              <w:jc w:val="center"/>
              <w:textAlignment w:val="center"/>
              <w:outlineLvl w:val="9"/>
              <w:rPr>
                <w:rFonts w:hint="eastAsia" w:ascii="仿宋_GB2312" w:hAnsi="仿宋_GB2312" w:eastAsia="仿宋_GB2312" w:cs="仿宋_GB2312"/>
                <w:b/>
                <w:bCs/>
                <w:i w:val="0"/>
                <w:iCs w:val="0"/>
                <w:color w:val="FFFFFF"/>
                <w:sz w:val="24"/>
                <w:szCs w:val="24"/>
                <w:u w:val="none"/>
              </w:rPr>
            </w:pPr>
            <w:r>
              <w:rPr>
                <w:rFonts w:hint="eastAsia" w:ascii="仿宋_GB2312" w:hAnsi="仿宋_GB2312" w:eastAsia="仿宋_GB2312" w:cs="仿宋_GB2312"/>
                <w:b/>
                <w:bCs/>
                <w:i w:val="0"/>
                <w:iCs w:val="0"/>
                <w:color w:val="FFFFFF"/>
                <w:kern w:val="0"/>
                <w:sz w:val="24"/>
                <w:szCs w:val="24"/>
                <w:u w:val="none"/>
                <w:lang w:val="en-US" w:eastAsia="zh-CN" w:bidi="ar"/>
              </w:rPr>
              <w:t>人数</w:t>
            </w:r>
          </w:p>
        </w:tc>
        <w:tc>
          <w:tcPr>
            <w:tcW w:w="1704" w:type="dxa"/>
            <w:tcBorders>
              <w:top w:val="single" w:color="C0504D" w:sz="4" w:space="0"/>
              <w:left w:val="nil"/>
              <w:bottom w:val="nil"/>
              <w:right w:val="single" w:color="C0504D" w:sz="4" w:space="0"/>
            </w:tcBorders>
            <w:shd w:val="clear" w:color="C0504D" w:fill="C0504D"/>
            <w:vAlign w:val="center"/>
          </w:tcPr>
          <w:p>
            <w:pPr>
              <w:keepNext w:val="0"/>
              <w:keepLines w:val="0"/>
              <w:widowControl/>
              <w:suppressLineNumbers w:val="0"/>
              <w:jc w:val="center"/>
              <w:textAlignment w:val="center"/>
              <w:outlineLvl w:val="9"/>
              <w:rPr>
                <w:rFonts w:hint="eastAsia" w:ascii="仿宋_GB2312" w:hAnsi="仿宋_GB2312" w:eastAsia="仿宋_GB2312" w:cs="仿宋_GB2312"/>
                <w:b/>
                <w:bCs/>
                <w:i w:val="0"/>
                <w:iCs w:val="0"/>
                <w:color w:val="FFFFFF"/>
                <w:sz w:val="24"/>
                <w:szCs w:val="24"/>
                <w:u w:val="none"/>
              </w:rPr>
            </w:pPr>
            <w:r>
              <w:rPr>
                <w:rFonts w:hint="eastAsia" w:ascii="仿宋_GB2312" w:hAnsi="仿宋_GB2312" w:eastAsia="仿宋_GB2312" w:cs="仿宋_GB2312"/>
                <w:b/>
                <w:bCs/>
                <w:i w:val="0"/>
                <w:iCs w:val="0"/>
                <w:color w:val="FFFFFF"/>
                <w:kern w:val="0"/>
                <w:sz w:val="24"/>
                <w:szCs w:val="24"/>
                <w:u w:val="none"/>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湖南</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2181</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69.48%</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江西</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1.47%</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辽宁</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福建</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0.86%</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山东</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374</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11.91%</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山西</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广西</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0.54%</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陕西</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贵州</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0.35%</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海南</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0.57%</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河北</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0.86%</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天津</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河南</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0.32%</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西藏</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704" w:type="dxa"/>
            <w:tcBorders>
              <w:top w:val="single" w:color="C0504D" w:sz="4" w:space="0"/>
              <w:left w:val="nil"/>
              <w:bottom w:val="single" w:color="C0504D" w:sz="4" w:space="0"/>
              <w:right w:val="single" w:color="C0504D" w:sz="4" w:space="0"/>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黑龙江</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0.13%</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新疆</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湖北</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1.94%</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云南</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安徽</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0.54%</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吉林</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0.32%</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重庆</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江苏</w:t>
            </w:r>
          </w:p>
        </w:tc>
        <w:tc>
          <w:tcPr>
            <w:tcW w:w="109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405"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澳门</w:t>
            </w:r>
          </w:p>
        </w:tc>
        <w:tc>
          <w:tcPr>
            <w:tcW w:w="1218"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704" w:type="dxa"/>
            <w:tcBorders>
              <w:top w:val="single" w:color="C0504D" w:sz="4" w:space="0"/>
              <w:left w:val="nil"/>
              <w:bottom w:val="single" w:color="C0504D" w:sz="4" w:space="0"/>
              <w:right w:val="single" w:color="C0504D" w:sz="4" w:space="0"/>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甘肃</w:t>
            </w:r>
          </w:p>
        </w:tc>
        <w:tc>
          <w:tcPr>
            <w:tcW w:w="1094"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405"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0.19%</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内蒙古</w:t>
            </w:r>
          </w:p>
        </w:tc>
        <w:tc>
          <w:tcPr>
            <w:tcW w:w="1218"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704" w:type="dxa"/>
            <w:tcBorders>
              <w:top w:val="single" w:color="C0504D" w:sz="4" w:space="0"/>
              <w:left w:val="nil"/>
              <w:bottom w:val="single" w:color="C0504D" w:sz="4" w:space="0"/>
              <w:right w:val="single" w:color="C0504D" w:sz="4" w:space="0"/>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宁夏</w:t>
            </w:r>
          </w:p>
        </w:tc>
        <w:tc>
          <w:tcPr>
            <w:tcW w:w="1094"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405"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0.19%</w:t>
            </w:r>
          </w:p>
        </w:tc>
        <w:tc>
          <w:tcPr>
            <w:tcW w:w="1404" w:type="dxa"/>
            <w:tcBorders>
              <w:top w:val="single" w:color="C0504D" w:sz="4" w:space="0"/>
              <w:left w:val="nil"/>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青海</w:t>
            </w:r>
          </w:p>
        </w:tc>
        <w:tc>
          <w:tcPr>
            <w:tcW w:w="1218"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704" w:type="dxa"/>
            <w:tcBorders>
              <w:top w:val="single" w:color="C0504D" w:sz="4" w:space="0"/>
              <w:left w:val="nil"/>
              <w:bottom w:val="single" w:color="C0504D" w:sz="4" w:space="0"/>
              <w:right w:val="single" w:color="C0504D" w:sz="4" w:space="0"/>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391" w:type="dxa"/>
            <w:tcBorders>
              <w:top w:val="single" w:color="C0504D" w:sz="4" w:space="0"/>
              <w:left w:val="single" w:color="C0504D" w:sz="4" w:space="0"/>
              <w:bottom w:val="single" w:color="C0504D" w:sz="4" w:space="0"/>
              <w:right w:val="nil"/>
            </w:tcBorders>
            <w:shd w:val="clear" w:color="auto" w:fill="auto"/>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香港</w:t>
            </w:r>
          </w:p>
        </w:tc>
        <w:tc>
          <w:tcPr>
            <w:tcW w:w="1094"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405"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0.03%</w:t>
            </w:r>
          </w:p>
        </w:tc>
        <w:tc>
          <w:tcPr>
            <w:tcW w:w="1404"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p>
        </w:tc>
        <w:tc>
          <w:tcPr>
            <w:tcW w:w="1218" w:type="dxa"/>
            <w:tcBorders>
              <w:top w:val="single" w:color="C0504D" w:sz="4" w:space="0"/>
              <w:left w:val="nil"/>
              <w:bottom w:val="single" w:color="C0504D" w:sz="4" w:space="0"/>
              <w:right w:val="nil"/>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p>
        </w:tc>
        <w:tc>
          <w:tcPr>
            <w:tcW w:w="1704" w:type="dxa"/>
            <w:tcBorders>
              <w:top w:val="single" w:color="C0504D" w:sz="4" w:space="0"/>
              <w:left w:val="nil"/>
              <w:bottom w:val="single" w:color="C0504D" w:sz="4" w:space="0"/>
              <w:right w:val="single" w:color="C0504D" w:sz="4" w:space="0"/>
            </w:tcBorders>
            <w:shd w:val="clear" w:color="auto" w:fill="auto"/>
            <w:noWrap/>
            <w:vAlign w:val="center"/>
          </w:tcPr>
          <w:p>
            <w:pPr>
              <w:keepNext w:val="0"/>
              <w:keepLines w:val="0"/>
              <w:widowControl/>
              <w:suppressLineNumbers w:val="0"/>
              <w:jc w:val="center"/>
              <w:textAlignment w:val="center"/>
              <w:outlineLvl w:val="9"/>
              <w:rPr>
                <w:rFonts w:hint="eastAsia" w:ascii="仿宋_GB2312" w:hAnsi="仿宋_GB2312" w:eastAsia="仿宋_GB2312" w:cs="仿宋_GB2312"/>
                <w:i w:val="0"/>
                <w:iCs w:val="0"/>
                <w:color w:val="000000"/>
                <w:kern w:val="2"/>
                <w:sz w:val="24"/>
                <w:szCs w:val="24"/>
                <w:u w:val="none"/>
                <w:lang w:val="en-US" w:eastAsia="zh-CN" w:bidi="ar-SA"/>
              </w:rPr>
            </w:pPr>
          </w:p>
        </w:tc>
      </w:tr>
    </w:tbl>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78" w:name="_Toc7360"/>
      <w:bookmarkStart w:id="79" w:name="_Toc21126"/>
      <w:bookmarkStart w:id="80" w:name="_Toc15847"/>
      <w:bookmarkStart w:id="81" w:name="_Toc27008"/>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2.3.2 单位行业流向</w:t>
      </w:r>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由</w:t>
      </w:r>
      <w:r>
        <w:rPr>
          <w:rFonts w:hint="eastAsia" w:ascii="仿宋_GB2312" w:hAnsi="仿宋_GB2312" w:eastAsia="仿宋_GB2312" w:cs="仿宋_GB2312"/>
          <w:b w:val="0"/>
          <w:bCs w:val="0"/>
          <w:color w:val="000000" w:themeColor="text1"/>
          <w:sz w:val="28"/>
          <w:szCs w:val="28"/>
          <w14:textFill>
            <w14:solidFill>
              <w14:schemeClr w14:val="tx1"/>
            </w14:solidFill>
          </w14:textFill>
        </w:rPr>
        <w:t>金融业一直为主要的行业流向</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，逐步转向到教育业、</w:t>
      </w:r>
      <w:r>
        <w:rPr>
          <w:rFonts w:hint="eastAsia" w:ascii="仿宋_GB2312" w:hAnsi="仿宋_GB2312" w:eastAsia="仿宋_GB2312" w:cs="仿宋_GB2312"/>
          <w:b w:val="0"/>
          <w:bCs w:val="0"/>
          <w:color w:val="000000" w:themeColor="text1"/>
          <w:sz w:val="28"/>
          <w:szCs w:val="28"/>
          <w14:textFill>
            <w14:solidFill>
              <w14:schemeClr w14:val="tx1"/>
            </w14:solidFill>
          </w14:textFill>
        </w:rPr>
        <w:t>批发和零售业、信息传输、软件和信息技术服务等多个行业就业，其中，</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教育业546人，</w:t>
      </w:r>
      <w:r>
        <w:rPr>
          <w:rFonts w:hint="eastAsia" w:ascii="仿宋_GB2312" w:hAnsi="仿宋_GB2312" w:eastAsia="仿宋_GB2312" w:cs="仿宋_GB2312"/>
          <w:b w:val="0"/>
          <w:bCs w:val="0"/>
          <w:color w:val="000000" w:themeColor="text1"/>
          <w:sz w:val="28"/>
          <w:szCs w:val="28"/>
          <w14:textFill>
            <w14:solidFill>
              <w14:schemeClr w14:val="tx1"/>
            </w14:solidFill>
          </w14:textFill>
        </w:rPr>
        <w:t>占签约总人数的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17.39</w:t>
      </w:r>
      <w:r>
        <w:rPr>
          <w:rFonts w:hint="eastAsia" w:ascii="仿宋_GB2312" w:hAnsi="仿宋_GB2312" w:eastAsia="仿宋_GB2312" w:cs="仿宋_GB2312"/>
          <w:b w:val="0"/>
          <w:bCs w:val="0"/>
          <w:color w:val="000000" w:themeColor="text1"/>
          <w:sz w:val="28"/>
          <w:szCs w:val="28"/>
          <w14:textFill>
            <w14:solidFill>
              <w14:schemeClr w14:val="tx1"/>
            </w14:solidFill>
          </w14:textFill>
        </w:rPr>
        <w:t>%；批发和零售业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人，占签约人数的1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1.18</w:t>
      </w:r>
      <w:r>
        <w:rPr>
          <w:rFonts w:hint="eastAsia" w:ascii="仿宋_GB2312" w:hAnsi="仿宋_GB2312" w:eastAsia="仿宋_GB2312" w:cs="仿宋_GB2312"/>
          <w:b w:val="0"/>
          <w:bCs w:val="0"/>
          <w:color w:val="000000" w:themeColor="text1"/>
          <w:sz w:val="28"/>
          <w:szCs w:val="28"/>
          <w14:textFill>
            <w14:solidFill>
              <w14:schemeClr w14:val="tx1"/>
            </w14:solidFill>
          </w14:textFill>
        </w:rPr>
        <w:t>%；信息传输、软件和信息技术服务业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260</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人，占签约人数的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8.28</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金融行业签约人数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256</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人，占签约总人数的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8.16</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建筑业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255人，</w:t>
      </w:r>
      <w:r>
        <w:rPr>
          <w:rFonts w:hint="eastAsia" w:ascii="仿宋_GB2312" w:hAnsi="仿宋_GB2312" w:eastAsia="仿宋_GB2312" w:cs="仿宋_GB2312"/>
          <w:b w:val="0"/>
          <w:bCs w:val="0"/>
          <w:color w:val="000000" w:themeColor="text1"/>
          <w:sz w:val="28"/>
          <w:szCs w:val="28"/>
          <w14:textFill>
            <w14:solidFill>
              <w14:schemeClr w14:val="tx1"/>
            </w14:solidFill>
          </w14:textFill>
        </w:rPr>
        <w:t>占签约总人数的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8.13%；</w:t>
      </w:r>
      <w:r>
        <w:rPr>
          <w:rFonts w:hint="eastAsia" w:ascii="仿宋_GB2312" w:hAnsi="仿宋_GB2312" w:eastAsia="仿宋_GB2312" w:cs="仿宋_GB2312"/>
          <w:b w:val="0"/>
          <w:bCs w:val="0"/>
          <w:color w:val="000000" w:themeColor="text1"/>
          <w:sz w:val="28"/>
          <w:szCs w:val="28"/>
          <w14:textFill>
            <w14:solidFill>
              <w14:schemeClr w14:val="tx1"/>
            </w14:solidFill>
          </w14:textFill>
        </w:rPr>
        <w:t>租赁和商务服务业2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人，占签约人数的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8.00</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近几年来，随着学校就业引导工作的深入开展，学生就业多元化发展的趋势越来越明显，进入服务性行业、股份制企业、信息传输、软件、信息技术、民营企业及基层岗位就业的毕业生人数均有所提升。</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80%以上毕业生在企业及基层岗位就业，符合我校培养应用型人才的目标定位。具体情况见表2-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w:t>
      </w:r>
      <w:r>
        <w:rPr>
          <w:rFonts w:hint="eastAsia" w:ascii="仿宋_GB2312" w:hAnsi="仿宋_GB2312" w:eastAsia="仿宋_GB2312" w:cs="仿宋_GB2312"/>
          <w:b/>
          <w:sz w:val="28"/>
          <w:szCs w:val="28"/>
          <w:lang w:val="en-US" w:eastAsia="zh-CN"/>
        </w:rPr>
        <w:t>5</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届毕业生就业单位行业人数统计表</w:t>
      </w:r>
    </w:p>
    <w:tbl>
      <w:tblPr>
        <w:tblStyle w:val="17"/>
        <w:tblW w:w="823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4264"/>
        <w:gridCol w:w="1414"/>
        <w:gridCol w:w="1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 w:hRule="atLeast"/>
          <w:tblHeader/>
        </w:trPr>
        <w:tc>
          <w:tcPr>
            <w:tcW w:w="1031" w:type="dxa"/>
            <w:tcBorders>
              <w:top w:val="single" w:color="auto" w:sz="4" w:space="0"/>
              <w:left w:val="single" w:color="auto" w:sz="4" w:space="0"/>
              <w:bottom w:val="single" w:color="auto" w:sz="4" w:space="0"/>
              <w:right w:val="single" w:color="auto" w:sz="4" w:space="0"/>
            </w:tcBorders>
            <w:shd w:val="clear" w:color="8064A2" w:fill="938953" w:themeFill="background2" w:themeFillShade="7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t>序号</w:t>
            </w:r>
          </w:p>
        </w:tc>
        <w:tc>
          <w:tcPr>
            <w:tcW w:w="4264" w:type="dxa"/>
            <w:tcBorders>
              <w:top w:val="single" w:color="auto" w:sz="4" w:space="0"/>
              <w:left w:val="single" w:color="auto" w:sz="4" w:space="0"/>
              <w:bottom w:val="single" w:color="auto" w:sz="4" w:space="0"/>
              <w:right w:val="single" w:color="auto" w:sz="4" w:space="0"/>
            </w:tcBorders>
            <w:shd w:val="clear" w:color="8064A2" w:fill="938953" w:themeFill="background2" w:themeFillShade="7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t>行业名称</w:t>
            </w:r>
          </w:p>
        </w:tc>
        <w:tc>
          <w:tcPr>
            <w:tcW w:w="1414" w:type="dxa"/>
            <w:tcBorders>
              <w:top w:val="single" w:color="auto" w:sz="4" w:space="0"/>
              <w:left w:val="single" w:color="auto" w:sz="4" w:space="0"/>
              <w:bottom w:val="single" w:color="auto" w:sz="4" w:space="0"/>
              <w:right w:val="single" w:color="auto" w:sz="4" w:space="0"/>
            </w:tcBorders>
            <w:shd w:val="clear" w:color="8064A2" w:fill="938953" w:themeFill="background2" w:themeFillShade="7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t>就业人数</w:t>
            </w:r>
          </w:p>
        </w:tc>
        <w:tc>
          <w:tcPr>
            <w:tcW w:w="1529" w:type="dxa"/>
            <w:tcBorders>
              <w:top w:val="single" w:color="auto" w:sz="4" w:space="0"/>
              <w:left w:val="single" w:color="auto" w:sz="4" w:space="0"/>
              <w:bottom w:val="single" w:color="auto" w:sz="4" w:space="0"/>
              <w:right w:val="single" w:color="auto" w:sz="4" w:space="0"/>
            </w:tcBorders>
            <w:shd w:val="clear" w:color="8064A2" w:fill="938953" w:themeFill="background2" w:themeFillShade="7F"/>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sz w:val="24"/>
                <w:szCs w:val="24"/>
                <w:u w:val="none"/>
                <w:lang w:eastAsia="zh-CN"/>
                <w14:textFill>
                  <w14:solidFill>
                    <w14:schemeClr w14:val="bg1"/>
                  </w14:solidFill>
                </w14:textFill>
              </w:rPr>
              <w:t>所占比例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农、林、牧、渔业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采矿业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制造业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169</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电力、热力、燃气及水生产和供应业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建筑业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255</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6</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批发和零售业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交通运输、仓储和邮政业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住宿和餐饮业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信息传输、软件和信息技术服务业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260</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金融业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11</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房地产业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72</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12</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租赁和商务服务业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13</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科学研究和技术服务业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96</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14</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水利、环境和公共设施管理业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15</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居民服务、修理和其他服务业</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70</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16</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教育</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546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卫生和社会工作</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31</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文化、体育和娱乐业</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229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19</w:t>
            </w:r>
          </w:p>
        </w:tc>
        <w:tc>
          <w:tcPr>
            <w:tcW w:w="0" w:type="auto"/>
            <w:tcBorders>
              <w:top w:val="nil"/>
              <w:left w:val="nil"/>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公共管理、社会保障和社会组织</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95</w:t>
            </w:r>
          </w:p>
        </w:tc>
        <w:tc>
          <w:tcPr>
            <w:tcW w:w="0" w:type="auto"/>
            <w:tcBorders>
              <w:top w:val="single" w:color="auto" w:sz="4" w:space="0"/>
              <w:left w:val="single" w:color="auto" w:sz="4" w:space="0"/>
              <w:bottom w:val="single" w:color="auto" w:sz="4" w:space="0"/>
              <w:right w:val="single" w:color="auto" w:sz="4" w:space="0"/>
            </w:tcBorders>
            <w:shd w:val="clear" w:color="D8D8D8" w:fill="D8D8D8"/>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20</w:t>
            </w:r>
          </w:p>
        </w:tc>
        <w:tc>
          <w:tcPr>
            <w:tcW w:w="0" w:type="auto"/>
            <w:tcBorders>
              <w:top w:val="single" w:color="auto" w:sz="4" w:space="0"/>
              <w:left w:val="single" w:color="auto" w:sz="4" w:space="0"/>
              <w:bottom w:val="single" w:color="auto" w:sz="4" w:space="0"/>
              <w:right w:val="single" w:color="auto" w:sz="4" w:space="0"/>
            </w:tcBorders>
            <w:shd w:val="clear" w:color="000000"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军队</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0.32%</w:t>
            </w:r>
          </w:p>
        </w:tc>
      </w:tr>
    </w:tbl>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82" w:name="_Toc20214"/>
      <w:bookmarkStart w:id="83" w:name="_Toc29499"/>
      <w:bookmarkStart w:id="84" w:name="_Toc3414"/>
      <w:bookmarkStart w:id="85" w:name="_Toc21820"/>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2.3.3 单位性质</w:t>
      </w:r>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近年来，随着学校就业引导工作的深入开展，学生就业多元化发展的趋势越来越明显，进入服务性行业、民营企业、中</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小微</w:t>
      </w:r>
      <w:r>
        <w:rPr>
          <w:rFonts w:hint="eastAsia" w:ascii="仿宋_GB2312" w:hAnsi="仿宋_GB2312" w:eastAsia="仿宋_GB2312" w:cs="仿宋_GB2312"/>
          <w:b w:val="0"/>
          <w:bCs w:val="0"/>
          <w:color w:val="000000" w:themeColor="text1"/>
          <w:sz w:val="28"/>
          <w:szCs w:val="28"/>
          <w14:textFill>
            <w14:solidFill>
              <w14:schemeClr w14:val="tx1"/>
            </w14:solidFill>
          </w14:textFill>
        </w:rPr>
        <w:t>型企业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和自由职业的</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毕业生人数比例以及继续深造人数均有所提升。其中，签约国有企业总人数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355</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就业总人数</w:t>
      </w:r>
      <w:r>
        <w:rPr>
          <w:rFonts w:hint="eastAsia" w:ascii="仿宋_GB2312" w:hAnsi="仿宋_GB2312" w:eastAsia="仿宋_GB2312" w:cs="仿宋_GB2312"/>
          <w:b w:val="0"/>
          <w:bCs w:val="0"/>
          <w:color w:val="000000" w:themeColor="text1"/>
          <w:sz w:val="28"/>
          <w:szCs w:val="28"/>
          <w14:textFill>
            <w14:solidFill>
              <w14:schemeClr w14:val="tx1"/>
            </w14:solidFill>
          </w14:textFill>
        </w:rPr>
        <w:t>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1.31</w:t>
      </w:r>
      <w:r>
        <w:rPr>
          <w:rFonts w:hint="eastAsia" w:ascii="仿宋_GB2312" w:hAnsi="仿宋_GB2312" w:eastAsia="仿宋_GB2312" w:cs="仿宋_GB2312"/>
          <w:b w:val="0"/>
          <w:bCs w:val="0"/>
          <w:color w:val="000000" w:themeColor="text1"/>
          <w:sz w:val="28"/>
          <w:szCs w:val="28"/>
          <w14:textFill>
            <w14:solidFill>
              <w14:schemeClr w14:val="tx1"/>
            </w14:solidFill>
          </w14:textFill>
        </w:rPr>
        <w:t>%，其他企业总人数达1</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540</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就业总人数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49.06</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自由职业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667人，占21.25%，国内升学250人，占7.96%；</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机关</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70</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2.23</w:t>
      </w:r>
      <w:r>
        <w:rPr>
          <w:rFonts w:hint="eastAsia" w:ascii="仿宋_GB2312" w:hAnsi="仿宋_GB2312" w:eastAsia="仿宋_GB2312" w:cs="仿宋_GB2312"/>
          <w:b w:val="0"/>
          <w:bCs w:val="0"/>
          <w:color w:val="000000" w:themeColor="text1"/>
          <w:sz w:val="28"/>
          <w:szCs w:val="28"/>
          <w14:textFill>
            <w14:solidFill>
              <w14:schemeClr w14:val="tx1"/>
            </w14:solidFill>
          </w14:textFill>
        </w:rPr>
        <w:t>%，具体人数分布见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图</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2-2.</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w:t>
      </w:r>
      <w:r>
        <w:rPr>
          <w:rFonts w:hint="eastAsia" w:ascii="仿宋_GB2312" w:hAnsi="仿宋_GB2312" w:eastAsia="仿宋_GB2312" w:cs="仿宋_GB2312"/>
          <w:b/>
          <w:sz w:val="28"/>
          <w:szCs w:val="28"/>
          <w:lang w:val="en-US" w:eastAsia="zh-CN"/>
        </w:rPr>
        <w:t xml:space="preserve">2-2  </w:t>
      </w:r>
      <w:r>
        <w:rPr>
          <w:rFonts w:hint="eastAsia" w:ascii="仿宋_GB2312" w:hAnsi="仿宋_GB2312" w:eastAsia="仿宋_GB2312" w:cs="仿宋_GB2312"/>
          <w:b/>
          <w:sz w:val="28"/>
          <w:szCs w:val="28"/>
        </w:rPr>
        <w:t>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届毕业生签约单位性质分布图</w:t>
      </w:r>
    </w:p>
    <w:p>
      <w:pPr>
        <w:pStyle w:val="2"/>
        <w:ind w:left="0" w:leftChars="0" w:firstLine="0" w:firstLineChars="0"/>
        <w:rPr>
          <w:rFonts w:hint="eastAsia"/>
        </w:rPr>
      </w:pPr>
      <w:r>
        <w:drawing>
          <wp:inline distT="0" distB="0" distL="114300" distR="114300">
            <wp:extent cx="5183505" cy="2800350"/>
            <wp:effectExtent l="4445" t="4445" r="12700" b="14605"/>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left"/>
        <w:rPr>
          <w:rFonts w:hint="eastAsia" w:ascii="仿宋_GB2312" w:eastAsia="仿宋_GB2312"/>
          <w:b/>
          <w:sz w:val="28"/>
          <w:szCs w:val="28"/>
        </w:rPr>
      </w:pPr>
      <w:r>
        <w:rPr>
          <w:rFonts w:hint="eastAsia" w:ascii="仿宋_GB2312" w:eastAsia="仿宋_GB2312"/>
          <w:b/>
          <w:sz w:val="28"/>
          <w:szCs w:val="28"/>
        </w:rPr>
        <w:br w:type="page"/>
      </w:r>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86" w:name="_Toc10585"/>
      <w:bookmarkStart w:id="87" w:name="_Toc3086"/>
      <w:bookmarkStart w:id="88" w:name="_Toc9489"/>
      <w:bookmarkStart w:id="89" w:name="_Toc31467"/>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2.3.4 升学分析</w:t>
      </w:r>
      <w:bookmarkEnd w:id="86"/>
      <w:bookmarkEnd w:id="87"/>
      <w:bookmarkEnd w:id="88"/>
      <w:bookmarkEnd w:id="8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学校不断加强与世界知名大学合作培养人才的深度与广度，注重内涵建设的国际化人才培养，目前已经与世界 10多所大学建立合作关系，使学生接受前沿的国际视野和多元的文化熏陶。</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14:textFill>
            <w14:solidFill>
              <w14:schemeClr w14:val="tx1"/>
            </w14:solidFill>
          </w14:textFill>
        </w:rPr>
        <w:t>继续深造</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人数和</w:t>
      </w:r>
      <w:r>
        <w:rPr>
          <w:rFonts w:hint="eastAsia" w:ascii="仿宋_GB2312" w:hAnsi="仿宋_GB2312" w:eastAsia="仿宋_GB2312" w:cs="仿宋_GB2312"/>
          <w:b w:val="0"/>
          <w:bCs w:val="0"/>
          <w:color w:val="000000" w:themeColor="text1"/>
          <w:sz w:val="28"/>
          <w:szCs w:val="28"/>
          <w14:textFill>
            <w14:solidFill>
              <w14:schemeClr w14:val="tx1"/>
            </w14:solidFill>
          </w14:textFill>
        </w:rPr>
        <w:t>深造率逐年上升，20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届本科生毕业生总人数</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3534</w:t>
      </w:r>
      <w:r>
        <w:rPr>
          <w:rFonts w:hint="eastAsia" w:ascii="仿宋_GB2312" w:hAnsi="仿宋_GB2312" w:eastAsia="仿宋_GB2312" w:cs="仿宋_GB2312"/>
          <w:b w:val="0"/>
          <w:bCs w:val="0"/>
          <w:color w:val="000000" w:themeColor="text1"/>
          <w:sz w:val="28"/>
          <w:szCs w:val="28"/>
          <w14:textFill>
            <w14:solidFill>
              <w14:schemeClr w14:val="tx1"/>
            </w14:solidFill>
          </w14:textFill>
        </w:rPr>
        <w:t>人，考取国内外研究生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307</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人，深造率达到了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8.69</w:t>
      </w:r>
      <w:r>
        <w:rPr>
          <w:rFonts w:hint="eastAsia" w:ascii="仿宋_GB2312" w:hAnsi="仿宋_GB2312" w:eastAsia="仿宋_GB2312" w:cs="仿宋_GB2312"/>
          <w:b w:val="0"/>
          <w:bCs w:val="0"/>
          <w:color w:val="000000" w:themeColor="text1"/>
          <w:sz w:val="28"/>
          <w:szCs w:val="28"/>
          <w14:textFill>
            <w14:solidFill>
              <w14:schemeClr w14:val="tx1"/>
            </w14:solidFill>
          </w14:textFill>
        </w:rPr>
        <w:t>%，其中国内升学</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250</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人，占毕业生总人的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7.07</w:t>
      </w:r>
      <w:r>
        <w:rPr>
          <w:rFonts w:hint="eastAsia" w:ascii="仿宋_GB2312" w:hAnsi="仿宋_GB2312" w:eastAsia="仿宋_GB2312" w:cs="仿宋_GB2312"/>
          <w:b w:val="0"/>
          <w:bCs w:val="0"/>
          <w:color w:val="000000" w:themeColor="text1"/>
          <w:sz w:val="28"/>
          <w:szCs w:val="28"/>
          <w14:textFill>
            <w14:solidFill>
              <w14:schemeClr w14:val="tx1"/>
            </w14:solidFill>
          </w14:textFill>
        </w:rPr>
        <w:t>%，出国（境）升学</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57</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人，占毕业生总人的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1.61</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pStyle w:val="94"/>
        <w:ind w:firstLine="0" w:firstLineChars="0"/>
        <w:outlineLvl w:val="2"/>
        <w:rPr>
          <w:rFonts w:hint="eastAsia" w:ascii="仿宋_GB2312" w:hAnsi="Calibri"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pPr>
      <w:bookmarkStart w:id="90" w:name="_Toc704"/>
      <w:bookmarkStart w:id="91" w:name="_Toc26935"/>
      <w:bookmarkStart w:id="92" w:name="_Toc17737"/>
      <w:r>
        <w:rPr>
          <w:rFonts w:hint="eastAsia" w:ascii="仿宋_GB2312" w:hAnsi="Calibri" w:eastAsia="仿宋_GB2312" w:cs="Times New Roman"/>
          <w:b/>
          <w:bCs/>
          <w:color w:val="00B0F0"/>
          <w:kern w:val="2"/>
          <w:sz w:val="28"/>
          <w:szCs w:val="28"/>
          <w:lang w:val="en-US" w:eastAsia="zh-CN" w:bidi="ar-SA"/>
          <w14:textFill>
            <w14:gradFill>
              <w14:gsLst>
                <w14:gs w14:pos="0">
                  <w14:srgbClr w14:val="007BD3"/>
                </w14:gs>
                <w14:gs w14:pos="100000">
                  <w14:srgbClr w14:val="034373"/>
                </w14:gs>
              </w14:gsLst>
              <w14:lin w14:scaled="0"/>
            </w14:gradFill>
          </w14:textFill>
        </w:rPr>
        <w:t>2.3.5 国内外升学情况</w:t>
      </w:r>
      <w:bookmarkEnd w:id="90"/>
      <w:bookmarkEnd w:id="91"/>
      <w:bookmarkEnd w:id="9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毕业生在</w:t>
      </w:r>
      <w:r>
        <w:rPr>
          <w:rFonts w:hint="eastAsia" w:ascii="仿宋_GB2312" w:hAnsi="仿宋_GB2312" w:eastAsia="仿宋_GB2312" w:cs="仿宋_GB2312"/>
          <w:b w:val="0"/>
          <w:bCs w:val="0"/>
          <w:color w:val="000000" w:themeColor="text1"/>
          <w:sz w:val="28"/>
          <w:szCs w:val="28"/>
          <w14:textFill>
            <w14:solidFill>
              <w14:schemeClr w14:val="tx1"/>
            </w14:solidFill>
          </w14:textFill>
        </w:rPr>
        <w:t>国内继续深造</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250</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人，占升学总人数的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81.43</w:t>
      </w:r>
      <w:r>
        <w:rPr>
          <w:rFonts w:hint="eastAsia" w:ascii="仿宋_GB2312" w:hAnsi="仿宋_GB2312" w:eastAsia="仿宋_GB2312" w:cs="仿宋_GB2312"/>
          <w:b w:val="0"/>
          <w:bCs w:val="0"/>
          <w:color w:val="000000" w:themeColor="text1"/>
          <w:sz w:val="28"/>
          <w:szCs w:val="28"/>
          <w14:textFill>
            <w14:solidFill>
              <w14:schemeClr w14:val="tx1"/>
            </w14:solidFill>
          </w14:textFill>
        </w:rPr>
        <w:t>%，出国（境）升学</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57</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人，占升学总人数的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18.57</w:t>
      </w:r>
      <w:r>
        <w:rPr>
          <w:rFonts w:hint="eastAsia" w:ascii="仿宋_GB2312" w:hAnsi="仿宋_GB2312" w:eastAsia="仿宋_GB2312" w:cs="仿宋_GB2312"/>
          <w:b w:val="0"/>
          <w:bCs w:val="0"/>
          <w:color w:val="000000" w:themeColor="text1"/>
          <w:sz w:val="28"/>
          <w:szCs w:val="28"/>
          <w14:textFill>
            <w14:solidFill>
              <w14:schemeClr w14:val="tx1"/>
            </w14:solidFill>
          </w14:textFill>
        </w:rPr>
        <w:t>%，具体情况详见图2-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图2-</w:t>
      </w:r>
      <w:r>
        <w:rPr>
          <w:rFonts w:hint="eastAsia" w:ascii="仿宋_GB2312" w:hAnsi="仿宋_GB2312" w:eastAsia="仿宋_GB2312" w:cs="仿宋_GB2312"/>
          <w:b/>
          <w:sz w:val="28"/>
          <w:szCs w:val="28"/>
          <w:lang w:val="en-US" w:eastAsia="zh-CN"/>
        </w:rPr>
        <w:t>3</w:t>
      </w: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b/>
          <w:sz w:val="28"/>
          <w:szCs w:val="28"/>
          <w:lang w:val="en-US" w:eastAsia="zh-CN"/>
        </w:rPr>
        <w:t>2021届毕业生</w:t>
      </w:r>
      <w:r>
        <w:rPr>
          <w:rFonts w:hint="eastAsia" w:ascii="仿宋_GB2312" w:hAnsi="仿宋_GB2312" w:eastAsia="仿宋_GB2312" w:cs="仿宋_GB2312"/>
          <w:b/>
          <w:sz w:val="28"/>
          <w:szCs w:val="28"/>
        </w:rPr>
        <w:t>国内外升学对比图</w:t>
      </w:r>
    </w:p>
    <w:p>
      <w:pPr>
        <w:jc w:val="both"/>
        <w:rPr>
          <w:rFonts w:ascii="仿宋_GB2312" w:eastAsia="仿宋_GB2312"/>
          <w:b/>
          <w:color w:val="000000"/>
          <w:sz w:val="28"/>
          <w:szCs w:val="28"/>
        </w:rPr>
      </w:pPr>
      <w:r>
        <w:drawing>
          <wp:inline distT="0" distB="0" distL="114300" distR="114300">
            <wp:extent cx="5215255" cy="2761615"/>
            <wp:effectExtent l="0" t="0" r="444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15255" cy="2761615"/>
                    </a:xfrm>
                    <a:prstGeom prst="rect">
                      <a:avLst/>
                    </a:prstGeom>
                    <a:noFill/>
                    <a:ln>
                      <a:noFill/>
                    </a:ln>
                  </pic:spPr>
                </pic:pic>
              </a:graphicData>
            </a:graphic>
          </wp:inline>
        </w:drawing>
      </w:r>
      <w:r>
        <w:rPr>
          <w:rFonts w:hint="eastAsia" w:ascii="仿宋_GB2312" w:eastAsia="仿宋_GB2312"/>
          <w:b/>
          <w:color w:val="000000"/>
          <w:sz w:val="28"/>
          <w:szCs w:val="28"/>
        </w:rPr>
        <w:br w:type="page"/>
      </w:r>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93" w:name="_Toc25202"/>
      <w:bookmarkStart w:id="94" w:name="_Toc15066"/>
      <w:bookmarkStart w:id="95" w:name="_Toc23871"/>
      <w:bookmarkStart w:id="96" w:name="_Toc18933"/>
      <w:bookmarkStart w:id="97" w:name="_Toc3541"/>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2.3.6 重点流向院校</w:t>
      </w:r>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（1）国内升学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我校20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21届</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毕业生中选择国内升学的学生共有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250</w:t>
      </w:r>
      <w:r>
        <w:rPr>
          <w:rFonts w:hint="eastAsia" w:ascii="仿宋_GB2312" w:hAnsi="仿宋_GB2312" w:eastAsia="仿宋_GB2312" w:cs="仿宋_GB2312"/>
          <w:b w:val="0"/>
          <w:bCs w:val="0"/>
          <w:color w:val="000000" w:themeColor="text1"/>
          <w:sz w:val="28"/>
          <w:szCs w:val="28"/>
          <w14:textFill>
            <w14:solidFill>
              <w14:schemeClr w14:val="tx1"/>
            </w14:solidFill>
          </w14:textFill>
        </w:rPr>
        <w:t>人，绝大多数选择省内高校，具体情况详见表2-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w:t>
      </w:r>
      <w:r>
        <w:rPr>
          <w:rFonts w:hint="eastAsia" w:ascii="仿宋_GB2312" w:hAnsi="仿宋_GB2312" w:eastAsia="仿宋_GB2312" w:cs="仿宋_GB2312"/>
          <w:b/>
          <w:sz w:val="28"/>
          <w:szCs w:val="28"/>
          <w:lang w:val="en-US" w:eastAsia="zh-CN"/>
        </w:rPr>
        <w:t>6</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届毕业生国内升学主要流向院校统计表</w:t>
      </w:r>
    </w:p>
    <w:tbl>
      <w:tblPr>
        <w:tblStyle w:val="17"/>
        <w:tblW w:w="827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51"/>
        <w:gridCol w:w="1463"/>
        <w:gridCol w:w="2705"/>
        <w:gridCol w:w="15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blHeader/>
        </w:trPr>
        <w:tc>
          <w:tcPr>
            <w:tcW w:w="2551" w:type="dxa"/>
            <w:tcBorders>
              <w:top w:val="single" w:color="000000" w:sz="4" w:space="0"/>
              <w:left w:val="single" w:color="000000" w:sz="4" w:space="0"/>
              <w:bottom w:val="single" w:color="000000" w:sz="4" w:space="0"/>
              <w:right w:val="single" w:color="000000" w:sz="4" w:space="0"/>
            </w:tcBorders>
            <w:shd w:val="clear" w:color="9BBB59" w:fill="00B050"/>
            <w:noWrap/>
            <w:vAlign w:val="center"/>
          </w:tcPr>
          <w:p>
            <w:pPr>
              <w:keepNext w:val="0"/>
              <w:keepLines w:val="0"/>
              <w:widowControl/>
              <w:suppressLineNumbers w:val="0"/>
              <w:jc w:val="center"/>
              <w:textAlignment w:val="bottom"/>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录取学校</w:t>
            </w:r>
          </w:p>
        </w:tc>
        <w:tc>
          <w:tcPr>
            <w:tcW w:w="1463" w:type="dxa"/>
            <w:tcBorders>
              <w:top w:val="single" w:color="000000" w:sz="4" w:space="0"/>
              <w:left w:val="single" w:color="000000" w:sz="4" w:space="0"/>
              <w:bottom w:val="single" w:color="000000" w:sz="4" w:space="0"/>
              <w:right w:val="single" w:color="000000" w:sz="4" w:space="0"/>
            </w:tcBorders>
            <w:shd w:val="clear" w:color="9BBB59" w:fill="00B050"/>
            <w:noWrap/>
            <w:vAlign w:val="center"/>
          </w:tcPr>
          <w:p>
            <w:pPr>
              <w:keepNext w:val="0"/>
              <w:keepLines w:val="0"/>
              <w:widowControl/>
              <w:suppressLineNumbers w:val="0"/>
              <w:jc w:val="center"/>
              <w:textAlignment w:val="bottom"/>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录取人数</w:t>
            </w:r>
          </w:p>
        </w:tc>
        <w:tc>
          <w:tcPr>
            <w:tcW w:w="2705" w:type="dxa"/>
            <w:tcBorders>
              <w:top w:val="single" w:color="000000" w:sz="4" w:space="0"/>
              <w:left w:val="single" w:color="000000" w:sz="4" w:space="0"/>
              <w:bottom w:val="single" w:color="000000" w:sz="4" w:space="0"/>
              <w:right w:val="single" w:color="000000" w:sz="4" w:space="0"/>
            </w:tcBorders>
            <w:shd w:val="clear" w:color="9BBB59" w:fill="00B050"/>
            <w:noWrap/>
            <w:vAlign w:val="center"/>
          </w:tcPr>
          <w:p>
            <w:pPr>
              <w:keepNext w:val="0"/>
              <w:keepLines w:val="0"/>
              <w:widowControl/>
              <w:suppressLineNumbers w:val="0"/>
              <w:jc w:val="center"/>
              <w:textAlignment w:val="bottom"/>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录取学校</w:t>
            </w:r>
          </w:p>
        </w:tc>
        <w:tc>
          <w:tcPr>
            <w:tcW w:w="1558" w:type="dxa"/>
            <w:tcBorders>
              <w:top w:val="single" w:color="000000" w:sz="4" w:space="0"/>
              <w:left w:val="single" w:color="000000" w:sz="4" w:space="0"/>
              <w:bottom w:val="single" w:color="000000" w:sz="4" w:space="0"/>
              <w:right w:val="single" w:color="000000" w:sz="4" w:space="0"/>
            </w:tcBorders>
            <w:shd w:val="clear" w:color="9BBB59" w:fill="00B050"/>
            <w:noWrap/>
            <w:vAlign w:val="center"/>
          </w:tcPr>
          <w:p>
            <w:pPr>
              <w:keepNext w:val="0"/>
              <w:keepLines w:val="0"/>
              <w:widowControl/>
              <w:suppressLineNumbers w:val="0"/>
              <w:jc w:val="center"/>
              <w:textAlignment w:val="bottom"/>
              <w:rPr>
                <w:rFonts w:hint="eastAsia" w:ascii="仿宋_GB2312" w:hAnsi="仿宋_GB2312" w:eastAsia="仿宋_GB2312" w:cs="仿宋_GB2312"/>
                <w:b/>
                <w:bCs/>
                <w:i w:val="0"/>
                <w:iCs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color w:val="FFFFFF" w:themeColor="background1"/>
                <w:kern w:val="0"/>
                <w:sz w:val="24"/>
                <w:szCs w:val="24"/>
                <w:u w:val="none"/>
                <w:lang w:val="en-US" w:eastAsia="zh-CN" w:bidi="ar"/>
                <w14:textFill>
                  <w14:solidFill>
                    <w14:schemeClr w14:val="bg1"/>
                  </w14:solidFill>
                </w14:textFill>
              </w:rPr>
              <w:t>录取人数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长沙理工大学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福建师范大学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湘潭大学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广东技术师范大学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湖南师范大学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广东金融学院</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湖南工业大学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广西民族大学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广东外语外贸大学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广西师范大学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广州大学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贵州财经大学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湖南农业大学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海南大学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杭州师范大学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湖南工商大学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河北大学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湖南科技大学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河北科技大学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中南财经政法大学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黑龙江大学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江西财经大学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衡阳师范学院</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广东财经大学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湖北经济学院</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吉首大学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湖北省委党校</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新疆大学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湖州师范大学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中南大学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华侨大学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暨南大学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兰州理工大学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昆明理工大学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辽宁师范大学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武汉理工大学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岭南大学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扬州大学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闽南师范大学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中国矿业大学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南昌大学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中南林业科技大学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南昌工程学院</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安徽财经大学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南华大学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北京工商大学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南京审计大学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广东工业大学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南京师范大学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广西大学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青海大学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杭州电子科技大学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青海民族大学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湖南理工学院</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山东大学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华南农业大学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山东师范大学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华南师范大学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上海对外经贸大学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江西师范大学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上海理工大学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山西财经大学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首都经济贸易大学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上海海事大学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四川外国语大学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苏州大学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西安财经大学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天津商业大学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西南政法大学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天津师范大学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延安大学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武汉工程大学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浙江财经大学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武汉科技大学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安徽理工大学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西安建筑科技大学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澳门城市大学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西安石油大学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北京交通大学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西北民族大学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北京林业大学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西北政法大学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北京师范大学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北京体育大学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新疆农业大学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北京物资学院</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云南师范大学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北京信息科技大学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长春师范大学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北京邮电大学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浙江传媒学院</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大连理工大学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浙江工商大学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大连外国语学院</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浙江师范大学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东华大学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中南民族大学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对外经济贸易大学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重庆大学</w:t>
            </w: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551"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重庆邮电大学</w:t>
            </w:r>
          </w:p>
        </w:tc>
        <w:tc>
          <w:tcPr>
            <w:tcW w:w="1463"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重庆工商大学</w:t>
            </w:r>
          </w:p>
        </w:tc>
        <w:tc>
          <w:tcPr>
            <w:tcW w:w="1558" w:type="dxa"/>
            <w:tcBorders>
              <w:top w:val="single" w:color="000000" w:sz="4" w:space="0"/>
              <w:left w:val="single" w:color="000000" w:sz="4" w:space="0"/>
              <w:bottom w:val="single" w:color="000000" w:sz="4" w:space="0"/>
              <w:right w:val="single" w:color="000000" w:sz="4" w:space="0"/>
            </w:tcBorders>
            <w:shd w:val="clear" w:color="EBF1DE" w:fill="EBF1DE"/>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551"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重庆交通大学</w:t>
            </w:r>
          </w:p>
        </w:tc>
        <w:tc>
          <w:tcPr>
            <w:tcW w:w="1463"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705"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jc w:val="center"/>
              <w:rPr>
                <w:rFonts w:hint="eastAsia" w:ascii="仿宋_GB2312" w:hAnsi="仿宋_GB2312" w:eastAsia="仿宋_GB2312" w:cs="仿宋_GB2312"/>
                <w:i w:val="0"/>
                <w:iCs w:val="0"/>
                <w:color w:val="000000"/>
                <w:sz w:val="24"/>
                <w:szCs w:val="24"/>
                <w:u w:val="none"/>
              </w:rPr>
            </w:pPr>
          </w:p>
        </w:tc>
        <w:tc>
          <w:tcPr>
            <w:tcW w:w="1558" w:type="dxa"/>
            <w:tcBorders>
              <w:top w:val="single" w:color="000000" w:sz="4" w:space="0"/>
              <w:left w:val="single" w:color="000000" w:sz="4" w:space="0"/>
              <w:bottom w:val="single" w:color="000000" w:sz="4" w:space="0"/>
              <w:right w:val="single" w:color="000000" w:sz="4" w:space="0"/>
            </w:tcBorders>
            <w:shd w:val="clear" w:color="D8E4BC" w:fill="D8E4BC"/>
            <w:noWrap/>
            <w:vAlign w:val="center"/>
          </w:tcPr>
          <w:p>
            <w:pPr>
              <w:jc w:val="center"/>
              <w:rPr>
                <w:rFonts w:hint="eastAsia" w:ascii="仿宋_GB2312" w:hAnsi="仿宋_GB2312" w:eastAsia="仿宋_GB2312" w:cs="仿宋_GB2312"/>
                <w:i w:val="0"/>
                <w:iCs w:val="0"/>
                <w:color w:val="000000"/>
                <w:sz w:val="24"/>
                <w:szCs w:val="24"/>
                <w:u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（2）出国（境）深造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年毕业生选择出国（境）深造的学生共计</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57</w:t>
      </w:r>
      <w:r>
        <w:rPr>
          <w:rFonts w:hint="eastAsia" w:ascii="仿宋_GB2312" w:hAnsi="仿宋_GB2312" w:eastAsia="仿宋_GB2312" w:cs="仿宋_GB2312"/>
          <w:b w:val="0"/>
          <w:bCs w:val="0"/>
          <w:color w:val="000000" w:themeColor="text1"/>
          <w:sz w:val="28"/>
          <w:szCs w:val="28"/>
          <w14:textFill>
            <w14:solidFill>
              <w14:schemeClr w14:val="tx1"/>
            </w14:solidFill>
          </w14:textFill>
        </w:rPr>
        <w:t>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主要分布在英国、澳大利亚、美国、意大利、日本和韩国等国家和地区。其中：</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29人选择在英国继续深造，占</w:t>
      </w:r>
      <w:r>
        <w:rPr>
          <w:rFonts w:hint="eastAsia" w:ascii="仿宋_GB2312" w:hAnsi="仿宋_GB2312" w:eastAsia="仿宋_GB2312" w:cs="仿宋_GB2312"/>
          <w:b w:val="0"/>
          <w:bCs w:val="0"/>
          <w:color w:val="000000" w:themeColor="text1"/>
          <w:sz w:val="28"/>
          <w:szCs w:val="28"/>
          <w14:textFill>
            <w14:solidFill>
              <w14:schemeClr w14:val="tx1"/>
            </w14:solidFill>
          </w14:textFill>
        </w:rPr>
        <w:t>出国（境）</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50.88%,英国卡迪夫大学5人，英国纽卡斯尔大学4人，澳大利亚悉尼大学4人，英国埃克塞特大学3人，英国诺丁汉大学3人，优尼塔斯日本语学校2人，英国谢菲尔德大学2人，英国曼彻斯特大学2人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等国家和地区。</w:t>
      </w:r>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98" w:name="_Toc19166"/>
      <w:bookmarkStart w:id="99" w:name="_Toc26119"/>
      <w:bookmarkStart w:id="100" w:name="_Toc11945"/>
      <w:bookmarkStart w:id="101" w:name="_Toc30696"/>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2.3.7 重点单位就业</w:t>
      </w:r>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年我校毕业生就业人数超过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14:textFill>
            <w14:solidFill>
              <w14:schemeClr w14:val="tx1"/>
            </w14:solidFill>
          </w14:textFill>
        </w:rPr>
        <w:t xml:space="preserve">人以上的就业单位达 </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50</w:t>
      </w:r>
      <w:r>
        <w:rPr>
          <w:rFonts w:hint="eastAsia" w:ascii="仿宋_GB2312" w:hAnsi="仿宋_GB2312" w:eastAsia="仿宋_GB2312" w:cs="仿宋_GB2312"/>
          <w:b w:val="0"/>
          <w:bCs w:val="0"/>
          <w:color w:val="000000" w:themeColor="text1"/>
          <w:sz w:val="28"/>
          <w:szCs w:val="28"/>
          <w14:textFill>
            <w14:solidFill>
              <w14:schemeClr w14:val="tx1"/>
            </w14:solidFill>
          </w14:textFill>
        </w:rPr>
        <w:t>家，目前，毕业生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重点就业单位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主要在金融业、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建筑业</w:t>
      </w:r>
      <w:r>
        <w:rPr>
          <w:rFonts w:hint="eastAsia" w:ascii="仿宋_GB2312" w:hAnsi="仿宋_GB2312" w:eastAsia="仿宋_GB2312" w:cs="仿宋_GB2312"/>
          <w:b w:val="0"/>
          <w:bCs w:val="0"/>
          <w:color w:val="000000" w:themeColor="text1"/>
          <w:sz w:val="28"/>
          <w:szCs w:val="28"/>
          <w14:textFill>
            <w14:solidFill>
              <w14:schemeClr w14:val="tx1"/>
            </w14:solidFill>
          </w14:textFill>
        </w:rPr>
        <w:t>、批发和零售业，信息传输、软件和信息技术服务业等行业领域，毕业生就业人数超过 5人或连续3年来校招聘的重点用人单位详见表2-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w:t>
      </w:r>
      <w:r>
        <w:rPr>
          <w:rFonts w:hint="eastAsia" w:ascii="仿宋_GB2312" w:hAnsi="仿宋_GB2312" w:eastAsia="仿宋_GB2312" w:cs="仿宋_GB2312"/>
          <w:b/>
          <w:sz w:val="28"/>
          <w:szCs w:val="28"/>
          <w:lang w:val="en-US" w:eastAsia="zh-CN"/>
        </w:rPr>
        <w:t>7</w:t>
      </w:r>
      <w:r>
        <w:rPr>
          <w:rFonts w:hint="eastAsia" w:ascii="仿宋_GB2312" w:hAnsi="仿宋_GB2312" w:eastAsia="仿宋_GB2312" w:cs="仿宋_GB2312"/>
          <w:b/>
          <w:sz w:val="28"/>
          <w:szCs w:val="28"/>
        </w:rPr>
        <w:t xml:space="preserve">  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 xml:space="preserve">年重点单位毕业生就业情况统计表 </w:t>
      </w:r>
      <w:bookmarkStart w:id="102" w:name="_Toc21552"/>
    </w:p>
    <w:tbl>
      <w:tblPr>
        <w:tblStyle w:val="17"/>
        <w:tblW w:w="8578" w:type="dxa"/>
        <w:tblInd w:w="-1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5"/>
        <w:gridCol w:w="748"/>
        <w:gridCol w:w="3458"/>
        <w:gridCol w:w="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blHeader/>
        </w:trPr>
        <w:tc>
          <w:tcPr>
            <w:tcW w:w="3645" w:type="dxa"/>
            <w:tcBorders>
              <w:top w:val="single" w:color="000000" w:sz="4" w:space="0"/>
              <w:left w:val="single" w:color="000000" w:sz="4" w:space="0"/>
              <w:bottom w:val="single" w:color="000000" w:sz="4" w:space="0"/>
              <w:right w:val="single" w:color="000000" w:sz="4" w:space="0"/>
            </w:tcBorders>
            <w:shd w:val="clear" w:color="70AD47" w:fill="70AD47"/>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单位名称</w:t>
            </w:r>
          </w:p>
        </w:tc>
        <w:tc>
          <w:tcPr>
            <w:tcW w:w="748" w:type="dxa"/>
            <w:tcBorders>
              <w:top w:val="single" w:color="000000" w:sz="4" w:space="0"/>
              <w:left w:val="single" w:color="000000" w:sz="4" w:space="0"/>
              <w:bottom w:val="single" w:color="000000" w:sz="4" w:space="0"/>
              <w:right w:val="single" w:color="000000" w:sz="4" w:space="0"/>
            </w:tcBorders>
            <w:shd w:val="clear" w:color="70AD47" w:fill="70AD47"/>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招录人数</w:t>
            </w:r>
          </w:p>
        </w:tc>
        <w:tc>
          <w:tcPr>
            <w:tcW w:w="3458" w:type="dxa"/>
            <w:tcBorders>
              <w:top w:val="single" w:color="000000" w:sz="4" w:space="0"/>
              <w:left w:val="single" w:color="000000" w:sz="4" w:space="0"/>
              <w:bottom w:val="single" w:color="000000" w:sz="4" w:space="0"/>
              <w:right w:val="single" w:color="000000" w:sz="4" w:space="0"/>
            </w:tcBorders>
            <w:shd w:val="clear" w:color="70AD47" w:fill="70AD47"/>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单位名称</w:t>
            </w:r>
          </w:p>
        </w:tc>
        <w:tc>
          <w:tcPr>
            <w:tcW w:w="727" w:type="dxa"/>
            <w:tcBorders>
              <w:top w:val="single" w:color="000000" w:sz="4" w:space="0"/>
              <w:left w:val="single" w:color="000000" w:sz="4" w:space="0"/>
              <w:bottom w:val="single" w:color="000000" w:sz="4" w:space="0"/>
              <w:right w:val="single" w:color="000000" w:sz="4" w:space="0"/>
            </w:tcBorders>
            <w:shd w:val="clear" w:color="70AD47" w:fill="70AD47"/>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招录人数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中国农业发展银行湖南地市分行</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湖南明义丰空间测绘科技有限公司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国家税务总局湖南地市税务局</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湖南兴盛优选电子商务有限公司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长沙猿起信息科技有限公司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湖南中润创和广告传媒有限公司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北京学而思教育科技有限公司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华融湘江银行股份有限公司衡阳分行</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中国银行股份有限公司广州白云支行</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上海链家房地产经纪有限公司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中国邮政储蓄银行股份有限公司广州市分行</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湘西博物文化创意产业有限公司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五矿二十三冶建筑集团有限公司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小米之家商业有限公司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中国工商银行股份有限公司福建省分行</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新理想教育科技（长沙）有限公司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农村商业银行股份有限公司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友谊国际工程有限公司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湖南省第六工程有限公司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运城市宇智融创互联网有限责任公司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中国建设银行股份有限公司湖南省分行</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长沙市岳麓区新理想培训学校有限公司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中铁城建集团有限公司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浙江古茗科技有限公司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中铁建工集团有限公司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中国水利水电第十四工程局有限公司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中信证券股份有限公司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中国邮政集团有限公司常德市分公司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湖南路桥建设集团有限责任公司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中交三公局第三工程有限公司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湖南梦洁家纺股份有限公司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安徽水利开发有限公司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长沙高途云集教育科技有限公司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成都市亲亲拍商贸有限公司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中国核工业第二二建设有限公司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斐乐服饰有限公司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中联重科股份有限公司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佛山市悦青包装材料有限公司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作业帮教育科技(长沙)有限公司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广东省联泰集团有限公司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国网湖南省电力公司地市电分公司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广东一方制药有限公司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运城雨涵广告有限公司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广州海鹚网络科技有限公司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长沙高新开发区麓谷劳务派遣服务有限</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湖南崇德向善文化传播有限公司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广东博达科技有限公司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湖南出头科技有限公司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湖南麒麟创新科技有限公司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湖南地腾土地规划咨询有限公司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湖南省第三工程有限公司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湖南江天大酒店管理有限公司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立信会计师事务所（特殊合伙）</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湖南民源餐饮服务集团公司岳阳分公司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中国水利水电第八工程局有限公司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湖南青果软件有限公司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中审众环会计师事务所湖南分所</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湖南五江轻化集团有限公司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步步高商业连锁股份有限公司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湖南小驼羊教育科技有限公司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大华会计师事务所（特殊普通合伙）</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湖南新环境房地产经纪连锁有限公司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东莞市彼得家具用品有限公司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华洋蜘蛛王专卖店</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湖南蓝鲸鱼企业管理有限公司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蓝思科技股份有限公司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湖南省沙坪建设有限公司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南岳生物制药有限公司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老百姓大药房连锁股份有限公司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山东鼎佳文化传媒有限公司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中国电信股份有限公司湖南公司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上海灿耀天昂智能科技有限公司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河北海亚钢结构有限公司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上海浦东发展银行成都分行</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湖南建工集团有限公司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武汉市华大新图教育培训学校有限公司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湖南纳邦商业运营管理有限公司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信永中和会计师事务所</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湖南省第五工程有限公司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兴业银行股份有限公司南宁分行</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湖南省工业设备安装有限公司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长沙橙匠广告有限公司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湖南省新华书店有限责任公司怀化市分公司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长沙极客之家电子商务有限责任公司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湖南新五丰股份有限公司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长沙康裕工程咨询有限公司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怀化市鹤城区旺达船舶修造厂</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长沙善喻教育咨询有限公司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猿力未来科技有限公司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中国光大银行股份有限公司长沙分行</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长沙链家立业房地产经济有限公司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中国石化集团</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智埔国际工程咨询有限公司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中航工程监理（湖南）有限公司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中城投第九建设集团有限公司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中南大学湘雅医院</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中交机电工程局有限公司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中信银行股份有限公司长沙分行</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福建盼盼食品有限公司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东莞银行</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广州市保伦电子有限公司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福建六建集团有限公司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海普诺凯生物科技有限公司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广发银行股份有限公司深圳分行</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杭州银行股份有限公司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湖南第四工程有限公司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鸿富锦精密工业(深圳)有限公司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湖南省第一工程有限公司</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湖南财专教育管理有限公司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湖南省核工业建设有限公司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湖南德荣医疗健康产业有限公司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通号工程局集团</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湖南康体国际贸易股份有限公司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中国联合网络通信有限公司湖南分公司</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湖南匡安网络技术有限公司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中国能源建设集团</w:t>
            </w: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3645" w:type="dxa"/>
            <w:tcBorders>
              <w:top w:val="single" w:color="000000" w:sz="4" w:space="0"/>
              <w:left w:val="single" w:color="000000" w:sz="4" w:space="0"/>
              <w:bottom w:val="single" w:color="000000" w:sz="4" w:space="0"/>
              <w:right w:val="single" w:color="000000" w:sz="4" w:space="0"/>
            </w:tcBorders>
            <w:shd w:val="clear" w:color="C6E0B4" w:fill="C6E0B4"/>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湖南联信科技有限公司</w:t>
            </w:r>
          </w:p>
        </w:tc>
        <w:tc>
          <w:tcPr>
            <w:tcW w:w="74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458"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中审华会计师事务所湖南分所</w:t>
            </w:r>
          </w:p>
        </w:tc>
        <w:tc>
          <w:tcPr>
            <w:tcW w:w="727" w:type="dxa"/>
            <w:tcBorders>
              <w:top w:val="single" w:color="000000" w:sz="4" w:space="0"/>
              <w:left w:val="single" w:color="000000" w:sz="4" w:space="0"/>
              <w:bottom w:val="single" w:color="000000" w:sz="4" w:space="0"/>
              <w:right w:val="single" w:color="000000" w:sz="4" w:space="0"/>
            </w:tcBorders>
            <w:shd w:val="clear" w:color="C6E0B4" w:fill="C6E0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3645" w:type="dxa"/>
            <w:tcBorders>
              <w:top w:val="single" w:color="000000" w:sz="4" w:space="0"/>
              <w:left w:val="single" w:color="000000" w:sz="4" w:space="0"/>
              <w:bottom w:val="single" w:color="000000" w:sz="4" w:space="0"/>
              <w:right w:val="single" w:color="000000" w:sz="4" w:space="0"/>
            </w:tcBorders>
            <w:shd w:val="clear" w:color="E2EFDA" w:fill="E2EFD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湖南省第八工程有限公司</w:t>
            </w:r>
          </w:p>
        </w:tc>
        <w:tc>
          <w:tcPr>
            <w:tcW w:w="74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sz w:val="24"/>
                <w:szCs w:val="24"/>
                <w:u w:val="none"/>
                <w:lang w:val="en-US" w:eastAsia="zh-CN"/>
              </w:rPr>
              <w:t>2</w:t>
            </w:r>
          </w:p>
        </w:tc>
        <w:tc>
          <w:tcPr>
            <w:tcW w:w="3458"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shd w:val="clear" w:color="E2EFDA" w:fill="E2EFD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eastAsia="zh-CN"/>
              </w:rPr>
            </w:pPr>
          </w:p>
        </w:tc>
      </w:tr>
    </w:tbl>
    <w:p>
      <w:pPr>
        <w:rPr>
          <w:rFonts w:hint="eastAsia"/>
        </w:rPr>
      </w:pPr>
    </w:p>
    <w:p>
      <w:pPr>
        <w:rPr>
          <w:rFonts w:hint="eastAsia"/>
        </w:rPr>
      </w:pPr>
    </w:p>
    <w:p>
      <w:pPr>
        <w:rPr>
          <w:rFonts w:hint="eastAsia"/>
        </w:rPr>
      </w:pPr>
      <w:r>
        <w:rPr>
          <w:rFonts w:hint="eastAsia"/>
        </w:rPr>
        <w:br w:type="page"/>
      </w:r>
    </w:p>
    <w:p>
      <w:pPr>
        <w:pStyle w:val="3"/>
        <w:keepNext/>
        <w:keepLines/>
        <w:pageBreakBefore w:val="0"/>
        <w:widowControl w:val="0"/>
        <w:kinsoku/>
        <w:wordWrap/>
        <w:overflowPunct/>
        <w:topLinePunct w:val="0"/>
        <w:autoSpaceDE/>
        <w:autoSpaceDN/>
        <w:bidi w:val="0"/>
        <w:adjustRightInd/>
        <w:snapToGrid/>
        <w:spacing w:before="100" w:after="100" w:line="579" w:lineRule="auto"/>
        <w:jc w:val="center"/>
        <w:textAlignment w:val="auto"/>
        <w:outlineLvl w:val="0"/>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pPr>
      <w:bookmarkStart w:id="103" w:name="_Toc18302"/>
      <w:bookmarkStart w:id="104" w:name="_Toc14574"/>
      <w:bookmarkStart w:id="105" w:name="_Toc8241"/>
      <w:r>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t>第三部分  就业相关分析</w:t>
      </w:r>
      <w:bookmarkEnd w:id="102"/>
      <w:bookmarkEnd w:id="103"/>
      <w:bookmarkEnd w:id="104"/>
      <w:bookmarkEnd w:id="105"/>
    </w:p>
    <w:p>
      <w:pPr>
        <w:pStyle w:val="5"/>
        <w:spacing w:before="0" w:after="0" w:line="240" w:lineRule="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106" w:name="_Toc21764"/>
      <w:bookmarkStart w:id="107" w:name="_Toc5715"/>
      <w:bookmarkStart w:id="108" w:name="_Toc18838"/>
      <w:bookmarkStart w:id="109" w:name="_Toc22549"/>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3.1.1</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就业单位与专业相关度</w:t>
      </w:r>
      <w:bookmarkEnd w:id="106"/>
      <w:bookmarkEnd w:id="107"/>
      <w:bookmarkEnd w:id="10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学校配合湖南省大中专毕业生就业指导中心第三方评价机构，对我校2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513</w:t>
      </w:r>
      <w:r>
        <w:rPr>
          <w:rFonts w:hint="eastAsia" w:ascii="仿宋_GB2312" w:hAnsi="仿宋_GB2312" w:eastAsia="仿宋_GB2312" w:cs="仿宋_GB2312"/>
          <w:b w:val="0"/>
          <w:bCs w:val="0"/>
          <w:color w:val="000000" w:themeColor="text1"/>
          <w:sz w:val="28"/>
          <w:szCs w:val="28"/>
          <w14:textFill>
            <w14:solidFill>
              <w14:schemeClr w14:val="tx1"/>
            </w14:solidFill>
          </w14:textFill>
        </w:rPr>
        <w:t>名已落实工作单位的本科毕业生（不含升学、出国）的就业单位与专业相关度进行了统计分析。从统计的数据来看：</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81名毕业生</w:t>
      </w:r>
      <w:r>
        <w:rPr>
          <w:rFonts w:hint="eastAsia" w:ascii="仿宋_GB2312" w:hAnsi="仿宋_GB2312" w:eastAsia="仿宋_GB2312" w:cs="仿宋_GB2312"/>
          <w:b w:val="0"/>
          <w:bCs w:val="0"/>
          <w:color w:val="000000" w:themeColor="text1"/>
          <w:sz w:val="28"/>
          <w:szCs w:val="28"/>
          <w14:textFill>
            <w14:solidFill>
              <w14:schemeClr w14:val="tx1"/>
            </w14:solidFill>
          </w14:textFill>
        </w:rPr>
        <w:t>就业单位与专业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非常相关，172名毕业生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比较相关，</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99名毕业生表示一般，不太相关的99人，不相关62人，</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非常相关、</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比较相关和</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一般的</w:t>
      </w:r>
      <w:r>
        <w:rPr>
          <w:rFonts w:hint="eastAsia" w:ascii="仿宋_GB2312" w:hAnsi="仿宋_GB2312" w:eastAsia="仿宋_GB2312" w:cs="仿宋_GB2312"/>
          <w:b w:val="0"/>
          <w:bCs w:val="0"/>
          <w:color w:val="000000" w:themeColor="text1"/>
          <w:sz w:val="28"/>
          <w:szCs w:val="28"/>
          <w14:textFill>
            <w14:solidFill>
              <w14:schemeClr w14:val="tx1"/>
            </w14:solidFill>
          </w14:textFill>
        </w:rPr>
        <w:t>就业相关度占</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调查</w:t>
      </w:r>
      <w:r>
        <w:rPr>
          <w:rFonts w:hint="eastAsia" w:ascii="仿宋_GB2312" w:hAnsi="仿宋_GB2312" w:eastAsia="仿宋_GB2312" w:cs="仿宋_GB2312"/>
          <w:b w:val="0"/>
          <w:bCs w:val="0"/>
          <w:color w:val="000000" w:themeColor="text1"/>
          <w:sz w:val="28"/>
          <w:szCs w:val="28"/>
          <w14:textFill>
            <w14:solidFill>
              <w14:schemeClr w14:val="tx1"/>
            </w14:solidFill>
          </w14:textFill>
        </w:rPr>
        <w:t>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68.62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具体情况见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图</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3-1。</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outlineLvl w:val="9"/>
        <w:rPr>
          <w:rFonts w:hint="eastAsia" w:ascii="仿宋" w:hAnsi="仿宋" w:eastAsia="仿宋" w:cs="仿宋"/>
          <w:b/>
          <w:bCs/>
          <w:color w:val="000000"/>
          <w:sz w:val="28"/>
          <w:szCs w:val="28"/>
          <w:lang w:val="en-US" w:eastAsia="zh-CN"/>
        </w:rPr>
      </w:pPr>
      <w:r>
        <w:rPr>
          <w:rFonts w:hint="eastAsia" w:ascii="仿宋_GB2312" w:hAnsi="仿宋_GB2312" w:eastAsia="仿宋_GB2312" w:cs="仿宋_GB2312"/>
          <w:b/>
          <w:sz w:val="28"/>
          <w:szCs w:val="28"/>
          <w:lang w:eastAsia="zh-CN"/>
        </w:rPr>
        <w:t>图</w:t>
      </w:r>
      <w:r>
        <w:rPr>
          <w:rFonts w:hint="eastAsia" w:ascii="仿宋_GB2312" w:hAnsi="仿宋_GB2312" w:eastAsia="仿宋_GB2312" w:cs="仿宋_GB2312"/>
          <w:b/>
          <w:sz w:val="28"/>
          <w:szCs w:val="28"/>
          <w:lang w:val="en-US" w:eastAsia="zh-CN"/>
        </w:rPr>
        <w:t>3-1  2021届毕业生从事的工作与所学专业相关度分布图</w:t>
      </w:r>
      <w:r>
        <w:drawing>
          <wp:inline distT="0" distB="0" distL="114300" distR="114300">
            <wp:extent cx="5358130" cy="2761615"/>
            <wp:effectExtent l="0" t="0" r="13970" b="63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6"/>
                    <a:stretch>
                      <a:fillRect/>
                    </a:stretch>
                  </pic:blipFill>
                  <pic:spPr>
                    <a:xfrm>
                      <a:off x="0" y="0"/>
                      <a:ext cx="5358130" cy="2761615"/>
                    </a:xfrm>
                    <a:prstGeom prst="rect">
                      <a:avLst/>
                    </a:prstGeom>
                    <a:noFill/>
                    <a:ln>
                      <a:noFill/>
                    </a:ln>
                  </pic:spPr>
                </pic:pic>
              </a:graphicData>
            </a:graphic>
          </wp:inline>
        </w:drawing>
      </w:r>
    </w:p>
    <w:bookmarkEnd w:id="109"/>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110" w:name="_Toc29461"/>
      <w:bookmarkStart w:id="111" w:name="_Toc22914"/>
      <w:bookmarkStart w:id="112" w:name="_Toc1401"/>
      <w:bookmarkStart w:id="113" w:name="_Toc17522"/>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3.1.2 毕业生对当前就业状况满意度</w:t>
      </w:r>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年，学校配合湖南省大中专毕业生就业指导中心，就20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届毕业生对自己当前就业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综合</w:t>
      </w:r>
      <w:r>
        <w:rPr>
          <w:rFonts w:hint="eastAsia" w:ascii="仿宋_GB2312" w:hAnsi="仿宋_GB2312" w:eastAsia="仿宋_GB2312" w:cs="仿宋_GB2312"/>
          <w:b w:val="0"/>
          <w:bCs w:val="0"/>
          <w:color w:val="000000" w:themeColor="text1"/>
          <w:sz w:val="28"/>
          <w:szCs w:val="28"/>
          <w14:textFill>
            <w14:solidFill>
              <w14:schemeClr w14:val="tx1"/>
            </w14:solidFill>
          </w14:textFill>
        </w:rPr>
        <w:t>满意度（包括社会声望、单位性质、工作环境、办公自由度、晋升与培训、单位文化等方面）进行随机问卷调查，收回有效问卷</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513</w:t>
      </w:r>
      <w:r>
        <w:rPr>
          <w:rFonts w:hint="eastAsia" w:ascii="仿宋_GB2312" w:hAnsi="仿宋_GB2312" w:eastAsia="仿宋_GB2312" w:cs="仿宋_GB2312"/>
          <w:b w:val="0"/>
          <w:bCs w:val="0"/>
          <w:color w:val="000000" w:themeColor="text1"/>
          <w:sz w:val="28"/>
          <w:szCs w:val="28"/>
          <w14:textFill>
            <w14:solidFill>
              <w14:schemeClr w14:val="tx1"/>
            </w14:solidFill>
          </w14:textFill>
        </w:rPr>
        <w:t>份，调查结果显示：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w:t>
      </w:r>
      <w:r>
        <w:rPr>
          <w:rFonts w:hint="eastAsia" w:ascii="仿宋_GB2312" w:hAnsi="仿宋_GB2312" w:eastAsia="仿宋_GB2312" w:cs="仿宋_GB2312"/>
          <w:b w:val="0"/>
          <w:bCs w:val="0"/>
          <w:color w:val="000000" w:themeColor="text1"/>
          <w:sz w:val="28"/>
          <w:szCs w:val="28"/>
          <w14:textFill>
            <w14:solidFill>
              <w14:schemeClr w14:val="tx1"/>
            </w14:solidFill>
          </w14:textFill>
        </w:rPr>
        <w:t>校毕业生对自己所签约单位总体的满意度较高，</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其中，</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56</w:t>
      </w:r>
      <w:r>
        <w:rPr>
          <w:rFonts w:hint="eastAsia" w:ascii="仿宋_GB2312" w:hAnsi="仿宋_GB2312" w:eastAsia="仿宋_GB2312" w:cs="仿宋_GB2312"/>
          <w:b w:val="0"/>
          <w:bCs w:val="0"/>
          <w:color w:val="000000" w:themeColor="text1"/>
          <w:sz w:val="28"/>
          <w:szCs w:val="28"/>
          <w14:textFill>
            <w14:solidFill>
              <w14:schemeClr w14:val="tx1"/>
            </w14:solidFill>
          </w14:textFill>
        </w:rPr>
        <w:t>名毕业生对自己当前就业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综合情况</w:t>
      </w:r>
      <w:r>
        <w:rPr>
          <w:rFonts w:hint="eastAsia" w:ascii="仿宋_GB2312" w:hAnsi="仿宋_GB2312" w:eastAsia="仿宋_GB2312" w:cs="仿宋_GB2312"/>
          <w:b w:val="0"/>
          <w:bCs w:val="0"/>
          <w:color w:val="000000" w:themeColor="text1"/>
          <w:sz w:val="28"/>
          <w:szCs w:val="28"/>
          <w14:textFill>
            <w14:solidFill>
              <w14:schemeClr w14:val="tx1"/>
            </w14:solidFill>
          </w14:textFill>
        </w:rPr>
        <w:t>表示非常满意，占调查总人数的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10.92%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252</w:t>
      </w:r>
      <w:r>
        <w:rPr>
          <w:rFonts w:hint="eastAsia" w:ascii="仿宋_GB2312" w:hAnsi="仿宋_GB2312" w:eastAsia="仿宋_GB2312" w:cs="仿宋_GB2312"/>
          <w:b w:val="0"/>
          <w:bCs w:val="0"/>
          <w:color w:val="000000" w:themeColor="text1"/>
          <w:sz w:val="28"/>
          <w:szCs w:val="28"/>
          <w14:textFill>
            <w14:solidFill>
              <w14:schemeClr w14:val="tx1"/>
            </w14:solidFill>
          </w14:textFill>
        </w:rPr>
        <w:t>名毕业生对自己当前就业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表示比较满意，占调查总人数的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49.12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186人表示一般，</w:t>
      </w:r>
      <w:r>
        <w:rPr>
          <w:rFonts w:hint="eastAsia" w:ascii="仿宋_GB2312" w:hAnsi="仿宋_GB2312" w:eastAsia="仿宋_GB2312" w:cs="仿宋_GB2312"/>
          <w:b w:val="0"/>
          <w:bCs w:val="0"/>
          <w:color w:val="000000" w:themeColor="text1"/>
          <w:sz w:val="28"/>
          <w:szCs w:val="28"/>
          <w14:textFill>
            <w14:solidFill>
              <w14:schemeClr w14:val="tx1"/>
            </w14:solidFill>
          </w14:textFill>
        </w:rPr>
        <w:t>占调查总人数的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36.26</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；17</w:t>
      </w:r>
      <w:r>
        <w:rPr>
          <w:rFonts w:hint="eastAsia" w:ascii="仿宋_GB2312" w:hAnsi="仿宋_GB2312" w:eastAsia="仿宋_GB2312" w:cs="仿宋_GB2312"/>
          <w:b w:val="0"/>
          <w:bCs w:val="0"/>
          <w:color w:val="000000" w:themeColor="text1"/>
          <w:sz w:val="28"/>
          <w:szCs w:val="28"/>
          <w14:textFill>
            <w14:solidFill>
              <w14:schemeClr w14:val="tx1"/>
            </w14:solidFill>
          </w14:textFill>
        </w:rPr>
        <w:t>名毕业生对自己当前就业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表示不太满意，占调查总人数的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3.31</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名毕业生对自己当前</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就业单位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表示不满意，占调查总人数的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0.39</w:t>
      </w:r>
      <w:r>
        <w:rPr>
          <w:rFonts w:hint="eastAsia" w:ascii="仿宋_GB2312" w:hAnsi="仿宋_GB2312" w:eastAsia="仿宋_GB2312" w:cs="仿宋_GB2312"/>
          <w:b w:val="0"/>
          <w:bCs w:val="0"/>
          <w:color w:val="000000" w:themeColor="text1"/>
          <w:sz w:val="28"/>
          <w:szCs w:val="28"/>
          <w14:textFill>
            <w14:solidFill>
              <w14:schemeClr w14:val="tx1"/>
            </w14:solidFill>
          </w14:textFill>
        </w:rPr>
        <w:t>%；具体情况见图3-</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图3-</w:t>
      </w:r>
      <w:r>
        <w:rPr>
          <w:rFonts w:hint="eastAsia" w:ascii="仿宋_GB2312" w:hAnsi="仿宋_GB2312" w:eastAsia="仿宋_GB2312" w:cs="仿宋_GB2312"/>
          <w:b/>
          <w:sz w:val="28"/>
          <w:szCs w:val="28"/>
          <w:lang w:val="en-US" w:eastAsia="zh-CN"/>
        </w:rPr>
        <w:t>2</w:t>
      </w: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b/>
          <w:sz w:val="28"/>
          <w:szCs w:val="28"/>
          <w:lang w:val="en-US" w:eastAsia="zh-CN"/>
        </w:rPr>
        <w:t>2021届</w:t>
      </w:r>
      <w:r>
        <w:rPr>
          <w:rFonts w:hint="eastAsia" w:ascii="仿宋_GB2312" w:hAnsi="仿宋_GB2312" w:eastAsia="仿宋_GB2312" w:cs="仿宋_GB2312"/>
          <w:b/>
          <w:sz w:val="28"/>
          <w:szCs w:val="28"/>
        </w:rPr>
        <w:t>毕业生对当前</w:t>
      </w:r>
      <w:r>
        <w:rPr>
          <w:rFonts w:hint="eastAsia" w:ascii="仿宋_GB2312" w:hAnsi="仿宋_GB2312" w:eastAsia="仿宋_GB2312" w:cs="仿宋_GB2312"/>
          <w:b/>
          <w:sz w:val="28"/>
          <w:szCs w:val="28"/>
          <w:lang w:eastAsia="zh-CN"/>
        </w:rPr>
        <w:t>就业单位综合</w:t>
      </w:r>
      <w:r>
        <w:rPr>
          <w:rFonts w:hint="eastAsia" w:ascii="仿宋_GB2312" w:hAnsi="仿宋_GB2312" w:eastAsia="仿宋_GB2312" w:cs="仿宋_GB2312"/>
          <w:b/>
          <w:sz w:val="28"/>
          <w:szCs w:val="28"/>
        </w:rPr>
        <w:t>满意度分布图</w:t>
      </w:r>
    </w:p>
    <w:p>
      <w:pPr>
        <w:jc w:val="both"/>
        <w:rPr>
          <w:rFonts w:hint="eastAsia" w:ascii="仿宋_GB2312" w:eastAsia="仿宋_GB2312"/>
          <w:b/>
          <w:color w:val="000000"/>
          <w:sz w:val="28"/>
          <w:szCs w:val="28"/>
        </w:rPr>
      </w:pPr>
      <w:r>
        <w:drawing>
          <wp:inline distT="0" distB="0" distL="114300" distR="114300">
            <wp:extent cx="5206365" cy="2761615"/>
            <wp:effectExtent l="0" t="0" r="13335" b="63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7"/>
                    <a:stretch>
                      <a:fillRect/>
                    </a:stretch>
                  </pic:blipFill>
                  <pic:spPr>
                    <a:xfrm>
                      <a:off x="0" y="0"/>
                      <a:ext cx="5206365" cy="2761615"/>
                    </a:xfrm>
                    <a:prstGeom prst="rect">
                      <a:avLst/>
                    </a:prstGeom>
                    <a:noFill/>
                    <a:ln>
                      <a:noFill/>
                    </a:ln>
                  </pic:spPr>
                </pic:pic>
              </a:graphicData>
            </a:graphic>
          </wp:inline>
        </w:drawing>
      </w:r>
    </w:p>
    <w:bookmarkEnd w:id="113"/>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114" w:name="_Toc9942"/>
      <w:bookmarkStart w:id="115" w:name="_Toc6374"/>
      <w:bookmarkStart w:id="116" w:name="_Toc9423"/>
      <w:bookmarkStart w:id="117" w:name="_Toc19723"/>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3.1.3</w:t>
      </w:r>
      <w:r>
        <w:rPr>
          <w:rFonts w:hint="eastAsia" w:ascii="仿宋_GB2312" w:eastAsia="仿宋_GB2312"/>
          <w:color w:val="00B0F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毕业生对就业</w:t>
      </w:r>
      <w:r>
        <w:rPr>
          <w:rFonts w:hint="eastAsia" w:ascii="仿宋_GB2312" w:eastAsia="仿宋_GB2312"/>
          <w:color w:val="00B0F0"/>
          <w:sz w:val="28"/>
          <w:szCs w:val="28"/>
          <w:lang w:eastAsia="zh-CN"/>
          <w14:textFill>
            <w14:gradFill>
              <w14:gsLst>
                <w14:gs w14:pos="0">
                  <w14:srgbClr w14:val="007BD3"/>
                </w14:gs>
                <w14:gs w14:pos="100000">
                  <w14:srgbClr w14:val="034373"/>
                </w14:gs>
              </w14:gsLst>
              <w14:lin w14:scaled="0"/>
            </w14:gradFill>
          </w14:textFill>
        </w:rPr>
        <w:t>创业指导和服务</w:t>
      </w:r>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的评价</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年，学校配合湖南省大中专毕业生就业指导中心第三方专业机构，</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对学校就业创业工作</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就业指导课</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创新创业类课程</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”、“就业创业个体咨询”、“</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政策宣讲、职业辅导和就业创业讲座等活动</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校园招聘与宣讲</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”、“实习实训”等指标</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评价</w:t>
      </w:r>
      <w:r>
        <w:rPr>
          <w:rFonts w:hint="eastAsia" w:ascii="仿宋_GB2312" w:hAnsi="仿宋_GB2312" w:eastAsia="仿宋_GB2312" w:cs="仿宋_GB2312"/>
          <w:b w:val="0"/>
          <w:bCs w:val="0"/>
          <w:color w:val="000000" w:themeColor="text1"/>
          <w:sz w:val="28"/>
          <w:szCs w:val="28"/>
          <w14:textFill>
            <w14:solidFill>
              <w14:schemeClr w14:val="tx1"/>
            </w14:solidFill>
          </w14:textFill>
        </w:rPr>
        <w:t>进行随机问卷调查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，调查标准是</w:t>
      </w:r>
      <w:r>
        <w:rPr>
          <w:rFonts w:hint="default" w:ascii="仿宋_GB2312" w:hAnsi="仿宋_GB2312" w:eastAsia="仿宋_GB2312" w:cs="仿宋_GB2312"/>
          <w:b w:val="0"/>
          <w:bCs w:val="0"/>
          <w:color w:val="000000" w:themeColor="text1"/>
          <w:sz w:val="28"/>
          <w:szCs w:val="28"/>
          <w:lang w:val="en-US" w:eastAsia="zh-CN"/>
          <w14:textFill>
            <w14:solidFill>
              <w14:schemeClr w14:val="tx1"/>
            </w14:solidFill>
          </w14:textFill>
        </w:rPr>
        <w:t>5分为最高分，1分为最低1分</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调查结果见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表</w:t>
      </w:r>
      <w:r>
        <w:rPr>
          <w:rFonts w:hint="eastAsia" w:ascii="仿宋_GB2312" w:hAnsi="仿宋_GB2312" w:eastAsia="仿宋_GB2312" w:cs="仿宋_GB2312"/>
          <w:b w:val="0"/>
          <w:bCs w:val="0"/>
          <w:color w:val="000000" w:themeColor="text1"/>
          <w:sz w:val="28"/>
          <w:szCs w:val="28"/>
          <w14:textFill>
            <w14:solidFill>
              <w14:schemeClr w14:val="tx1"/>
            </w14:solidFill>
          </w14:textFill>
        </w:rPr>
        <w:t>3-</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表</w:t>
      </w:r>
      <w:r>
        <w:rPr>
          <w:rFonts w:hint="eastAsia" w:ascii="仿宋_GB2312" w:hAnsi="仿宋_GB2312" w:eastAsia="仿宋_GB2312" w:cs="仿宋_GB2312"/>
          <w:b/>
          <w:sz w:val="28"/>
          <w:szCs w:val="28"/>
        </w:rPr>
        <w:t>3-</w:t>
      </w:r>
      <w:r>
        <w:rPr>
          <w:rFonts w:hint="eastAsia" w:ascii="仿宋_GB2312" w:hAnsi="仿宋_GB2312" w:eastAsia="仿宋_GB2312" w:cs="仿宋_GB2312"/>
          <w:b/>
          <w:sz w:val="28"/>
          <w:szCs w:val="28"/>
          <w:lang w:val="en-US" w:eastAsia="zh-CN"/>
        </w:rPr>
        <w:t>1  2021届</w:t>
      </w:r>
      <w:r>
        <w:rPr>
          <w:rFonts w:hint="eastAsia" w:ascii="仿宋_GB2312" w:hAnsi="仿宋_GB2312" w:eastAsia="仿宋_GB2312" w:cs="仿宋_GB2312"/>
          <w:b/>
          <w:sz w:val="28"/>
          <w:szCs w:val="28"/>
        </w:rPr>
        <w:t>毕业生对学校就业</w:t>
      </w:r>
      <w:r>
        <w:rPr>
          <w:rFonts w:hint="eastAsia" w:ascii="仿宋_GB2312" w:hAnsi="仿宋_GB2312" w:eastAsia="仿宋_GB2312" w:cs="仿宋_GB2312"/>
          <w:b/>
          <w:sz w:val="28"/>
          <w:szCs w:val="28"/>
          <w:lang w:eastAsia="zh-CN"/>
        </w:rPr>
        <w:t>创业工作</w:t>
      </w:r>
      <w:r>
        <w:rPr>
          <w:rFonts w:hint="eastAsia" w:ascii="仿宋_GB2312" w:hAnsi="仿宋_GB2312" w:eastAsia="仿宋_GB2312" w:cs="仿宋_GB2312"/>
          <w:b/>
          <w:sz w:val="28"/>
          <w:szCs w:val="28"/>
        </w:rPr>
        <w:t>评价</w:t>
      </w:r>
      <w:r>
        <w:rPr>
          <w:rFonts w:hint="eastAsia" w:ascii="仿宋_GB2312" w:hAnsi="仿宋_GB2312" w:eastAsia="仿宋_GB2312" w:cs="仿宋_GB2312"/>
          <w:b/>
          <w:sz w:val="28"/>
          <w:szCs w:val="28"/>
          <w:lang w:eastAsia="zh-CN"/>
        </w:rPr>
        <w:t>统计表</w:t>
      </w:r>
    </w:p>
    <w:tbl>
      <w:tblPr>
        <w:tblStyle w:val="17"/>
        <w:tblW w:w="82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86"/>
        <w:gridCol w:w="886"/>
        <w:gridCol w:w="933"/>
        <w:gridCol w:w="1008"/>
        <w:gridCol w:w="752"/>
        <w:gridCol w:w="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3786" w:type="dxa"/>
            <w:tcBorders>
              <w:top w:val="nil"/>
              <w:left w:val="nil"/>
              <w:bottom w:val="nil"/>
              <w:right w:val="nil"/>
            </w:tcBorders>
            <w:shd w:val="clear" w:color="F79646" w:fill="F79646" w:themeFill="accent6"/>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themeColor="background1"/>
                <w:sz w:val="24"/>
                <w:szCs w:val="24"/>
                <w:u w:val="none"/>
                <w14:textFill>
                  <w14:solidFill>
                    <w14:schemeClr w14:val="bg1"/>
                  </w14:solidFill>
                </w14:textFill>
              </w:rPr>
            </w:pPr>
            <w:r>
              <w:rPr>
                <w:rFonts w:hint="eastAsia" w:ascii="仿宋_GB2312" w:hAnsi="仿宋_GB2312" w:eastAsia="仿宋_GB2312" w:cs="仿宋_GB2312"/>
                <w:b/>
                <w:bCs/>
                <w:i w:val="0"/>
                <w:iCs w:val="0"/>
                <w:strike w:val="0"/>
                <w:dstrike w:val="0"/>
                <w:color w:val="FFFFFF" w:themeColor="background1"/>
                <w:kern w:val="0"/>
                <w:sz w:val="24"/>
                <w:szCs w:val="24"/>
                <w:u w:val="none"/>
                <w:lang w:val="en-US" w:eastAsia="zh-CN" w:bidi="ar"/>
                <w14:textFill>
                  <w14:solidFill>
                    <w14:schemeClr w14:val="bg1"/>
                  </w14:solidFill>
                </w14:textFill>
              </w:rPr>
              <w:t>学校就业创业工作评价</w:t>
            </w:r>
          </w:p>
        </w:tc>
        <w:tc>
          <w:tcPr>
            <w:tcW w:w="886" w:type="dxa"/>
            <w:tcBorders>
              <w:top w:val="single" w:color="auto" w:sz="4" w:space="0"/>
              <w:left w:val="single" w:color="auto" w:sz="4" w:space="0"/>
              <w:bottom w:val="single" w:color="auto" w:sz="4" w:space="0"/>
              <w:right w:val="single" w:color="auto" w:sz="4" w:space="0"/>
            </w:tcBorders>
            <w:shd w:val="clear" w:color="F79646" w:fill="F79646" w:themeFill="accent6"/>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sz w:val="24"/>
                <w:szCs w:val="24"/>
                <w:u w:val="none"/>
              </w:rPr>
            </w:pPr>
            <w:r>
              <w:rPr>
                <w:rFonts w:hint="eastAsia" w:ascii="仿宋_GB2312" w:hAnsi="仿宋_GB2312" w:eastAsia="仿宋_GB2312" w:cs="仿宋_GB2312"/>
                <w:b/>
                <w:bCs/>
                <w:i w:val="0"/>
                <w:iCs w:val="0"/>
                <w:strike w:val="0"/>
                <w:dstrike w:val="0"/>
                <w:color w:val="FFFFFF"/>
                <w:kern w:val="0"/>
                <w:sz w:val="24"/>
                <w:szCs w:val="24"/>
                <w:u w:val="none"/>
                <w:lang w:val="en-US" w:eastAsia="zh-CN" w:bidi="ar"/>
              </w:rPr>
              <w:t>5分</w:t>
            </w:r>
          </w:p>
        </w:tc>
        <w:tc>
          <w:tcPr>
            <w:tcW w:w="933" w:type="dxa"/>
            <w:tcBorders>
              <w:top w:val="single" w:color="auto" w:sz="4" w:space="0"/>
              <w:left w:val="single" w:color="auto" w:sz="4" w:space="0"/>
              <w:bottom w:val="single" w:color="auto" w:sz="4" w:space="0"/>
              <w:right w:val="single" w:color="auto" w:sz="4" w:space="0"/>
            </w:tcBorders>
            <w:shd w:val="clear" w:color="F79646" w:fill="F79646" w:themeFill="accent6"/>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sz w:val="24"/>
                <w:szCs w:val="24"/>
                <w:u w:val="none"/>
              </w:rPr>
            </w:pPr>
            <w:r>
              <w:rPr>
                <w:rFonts w:hint="eastAsia" w:ascii="仿宋_GB2312" w:hAnsi="仿宋_GB2312" w:eastAsia="仿宋_GB2312" w:cs="仿宋_GB2312"/>
                <w:b/>
                <w:bCs/>
                <w:i w:val="0"/>
                <w:iCs w:val="0"/>
                <w:strike w:val="0"/>
                <w:dstrike w:val="0"/>
                <w:color w:val="FFFFFF"/>
                <w:kern w:val="0"/>
                <w:sz w:val="24"/>
                <w:szCs w:val="24"/>
                <w:u w:val="none"/>
                <w:lang w:val="en-US" w:eastAsia="zh-CN" w:bidi="ar"/>
              </w:rPr>
              <w:t>4分</w:t>
            </w:r>
          </w:p>
        </w:tc>
        <w:tc>
          <w:tcPr>
            <w:tcW w:w="1008" w:type="dxa"/>
            <w:tcBorders>
              <w:top w:val="single" w:color="auto" w:sz="4" w:space="0"/>
              <w:left w:val="single" w:color="auto" w:sz="4" w:space="0"/>
              <w:bottom w:val="single" w:color="auto" w:sz="4" w:space="0"/>
              <w:right w:val="single" w:color="auto" w:sz="4" w:space="0"/>
            </w:tcBorders>
            <w:shd w:val="clear" w:color="F79646" w:fill="F79646" w:themeFill="accent6"/>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sz w:val="24"/>
                <w:szCs w:val="24"/>
                <w:u w:val="none"/>
              </w:rPr>
            </w:pPr>
            <w:r>
              <w:rPr>
                <w:rFonts w:hint="eastAsia" w:ascii="仿宋_GB2312" w:hAnsi="仿宋_GB2312" w:eastAsia="仿宋_GB2312" w:cs="仿宋_GB2312"/>
                <w:b/>
                <w:bCs/>
                <w:i w:val="0"/>
                <w:iCs w:val="0"/>
                <w:strike w:val="0"/>
                <w:dstrike w:val="0"/>
                <w:color w:val="FFFFFF"/>
                <w:kern w:val="0"/>
                <w:sz w:val="24"/>
                <w:szCs w:val="24"/>
                <w:u w:val="none"/>
                <w:lang w:val="en-US" w:eastAsia="zh-CN" w:bidi="ar"/>
              </w:rPr>
              <w:t>3分</w:t>
            </w:r>
          </w:p>
        </w:tc>
        <w:tc>
          <w:tcPr>
            <w:tcW w:w="752" w:type="dxa"/>
            <w:tcBorders>
              <w:top w:val="single" w:color="auto" w:sz="4" w:space="0"/>
              <w:left w:val="single" w:color="auto" w:sz="4" w:space="0"/>
              <w:bottom w:val="single" w:color="auto" w:sz="4" w:space="0"/>
              <w:right w:val="single" w:color="auto" w:sz="4" w:space="0"/>
            </w:tcBorders>
            <w:shd w:val="clear" w:color="F79646" w:fill="F79646" w:themeFill="accent6"/>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sz w:val="24"/>
                <w:szCs w:val="24"/>
                <w:u w:val="none"/>
              </w:rPr>
            </w:pPr>
            <w:r>
              <w:rPr>
                <w:rFonts w:hint="eastAsia" w:ascii="仿宋_GB2312" w:hAnsi="仿宋_GB2312" w:eastAsia="仿宋_GB2312" w:cs="仿宋_GB2312"/>
                <w:b/>
                <w:bCs/>
                <w:i w:val="0"/>
                <w:iCs w:val="0"/>
                <w:strike w:val="0"/>
                <w:dstrike w:val="0"/>
                <w:color w:val="FFFFFF"/>
                <w:kern w:val="0"/>
                <w:sz w:val="24"/>
                <w:szCs w:val="24"/>
                <w:u w:val="none"/>
                <w:lang w:val="en-US" w:eastAsia="zh-CN" w:bidi="ar"/>
              </w:rPr>
              <w:t>2分</w:t>
            </w:r>
          </w:p>
        </w:tc>
        <w:tc>
          <w:tcPr>
            <w:tcW w:w="873" w:type="dxa"/>
            <w:tcBorders>
              <w:top w:val="single" w:color="auto" w:sz="4" w:space="0"/>
              <w:left w:val="single" w:color="auto" w:sz="4" w:space="0"/>
              <w:bottom w:val="single" w:color="auto" w:sz="4" w:space="0"/>
              <w:right w:val="single" w:color="auto" w:sz="4" w:space="0"/>
            </w:tcBorders>
            <w:shd w:val="clear" w:color="F79646" w:fill="F79646" w:themeFill="accent6"/>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strike w:val="0"/>
                <w:dstrike w:val="0"/>
                <w:color w:val="FFFFFF"/>
                <w:sz w:val="24"/>
                <w:szCs w:val="24"/>
                <w:u w:val="none"/>
              </w:rPr>
            </w:pPr>
            <w:r>
              <w:rPr>
                <w:rFonts w:hint="eastAsia" w:ascii="仿宋_GB2312" w:hAnsi="仿宋_GB2312" w:eastAsia="仿宋_GB2312" w:cs="仿宋_GB2312"/>
                <w:b/>
                <w:bCs/>
                <w:i w:val="0"/>
                <w:iCs w:val="0"/>
                <w:strike w:val="0"/>
                <w:dstrike w:val="0"/>
                <w:color w:val="FFFFFF"/>
                <w:kern w:val="0"/>
                <w:sz w:val="24"/>
                <w:szCs w:val="24"/>
                <w:u w:val="none"/>
                <w:lang w:val="en-US" w:eastAsia="zh-CN" w:bidi="ar"/>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3786"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 xml:space="preserve">就业指导课（1059人） </w:t>
            </w:r>
          </w:p>
        </w:tc>
        <w:tc>
          <w:tcPr>
            <w:tcW w:w="886"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283</w:t>
            </w:r>
          </w:p>
        </w:tc>
        <w:tc>
          <w:tcPr>
            <w:tcW w:w="933"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423</w:t>
            </w:r>
          </w:p>
        </w:tc>
        <w:tc>
          <w:tcPr>
            <w:tcW w:w="1008"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286</w:t>
            </w:r>
          </w:p>
        </w:tc>
        <w:tc>
          <w:tcPr>
            <w:tcW w:w="752"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49</w:t>
            </w:r>
          </w:p>
        </w:tc>
        <w:tc>
          <w:tcPr>
            <w:tcW w:w="873"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4" w:hRule="atLeast"/>
        </w:trPr>
        <w:tc>
          <w:tcPr>
            <w:tcW w:w="3786"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创新创业类课程（1051人）</w:t>
            </w:r>
          </w:p>
        </w:tc>
        <w:tc>
          <w:tcPr>
            <w:tcW w:w="886"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296</w:t>
            </w:r>
          </w:p>
        </w:tc>
        <w:tc>
          <w:tcPr>
            <w:tcW w:w="933"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398</w:t>
            </w:r>
          </w:p>
        </w:tc>
        <w:tc>
          <w:tcPr>
            <w:tcW w:w="1008"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294</w:t>
            </w:r>
          </w:p>
        </w:tc>
        <w:tc>
          <w:tcPr>
            <w:tcW w:w="752"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48</w:t>
            </w:r>
          </w:p>
        </w:tc>
        <w:tc>
          <w:tcPr>
            <w:tcW w:w="873"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4" w:hRule="atLeast"/>
        </w:trPr>
        <w:tc>
          <w:tcPr>
            <w:tcW w:w="3786"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就业创业个体咨询（656人）</w:t>
            </w:r>
          </w:p>
        </w:tc>
        <w:tc>
          <w:tcPr>
            <w:tcW w:w="886"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400</w:t>
            </w:r>
          </w:p>
        </w:tc>
        <w:tc>
          <w:tcPr>
            <w:tcW w:w="933"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403</w:t>
            </w:r>
          </w:p>
        </w:tc>
        <w:tc>
          <w:tcPr>
            <w:tcW w:w="1008"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221</w:t>
            </w:r>
          </w:p>
        </w:tc>
        <w:tc>
          <w:tcPr>
            <w:tcW w:w="752"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25</w:t>
            </w:r>
          </w:p>
        </w:tc>
        <w:tc>
          <w:tcPr>
            <w:tcW w:w="873"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6" w:hRule="atLeast"/>
        </w:trPr>
        <w:tc>
          <w:tcPr>
            <w:tcW w:w="3786"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政策宣讲、职业辅导和就业创业讲座等活动（1059人）</w:t>
            </w:r>
          </w:p>
        </w:tc>
        <w:tc>
          <w:tcPr>
            <w:tcW w:w="886"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265</w:t>
            </w:r>
          </w:p>
        </w:tc>
        <w:tc>
          <w:tcPr>
            <w:tcW w:w="933"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349</w:t>
            </w:r>
          </w:p>
        </w:tc>
        <w:tc>
          <w:tcPr>
            <w:tcW w:w="1008"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341</w:t>
            </w:r>
          </w:p>
        </w:tc>
        <w:tc>
          <w:tcPr>
            <w:tcW w:w="752"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70</w:t>
            </w:r>
          </w:p>
        </w:tc>
        <w:tc>
          <w:tcPr>
            <w:tcW w:w="873"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4" w:hRule="atLeast"/>
        </w:trPr>
        <w:tc>
          <w:tcPr>
            <w:tcW w:w="3786"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校园招聘与宣讲（1059人）</w:t>
            </w:r>
          </w:p>
        </w:tc>
        <w:tc>
          <w:tcPr>
            <w:tcW w:w="886"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318</w:t>
            </w:r>
          </w:p>
        </w:tc>
        <w:tc>
          <w:tcPr>
            <w:tcW w:w="933"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404</w:t>
            </w:r>
          </w:p>
        </w:tc>
        <w:tc>
          <w:tcPr>
            <w:tcW w:w="1008"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263</w:t>
            </w:r>
          </w:p>
        </w:tc>
        <w:tc>
          <w:tcPr>
            <w:tcW w:w="752" w:type="dxa"/>
            <w:tcBorders>
              <w:top w:val="single" w:color="auto" w:sz="4" w:space="0"/>
              <w:left w:val="single" w:color="auto" w:sz="4" w:space="0"/>
              <w:bottom w:val="single" w:color="auto" w:sz="4" w:space="0"/>
              <w:right w:val="single" w:color="auto" w:sz="4" w:space="0"/>
            </w:tcBorders>
            <w:shd w:val="clear" w:color="FCD5B4" w:fill="FCD5B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55</w:t>
            </w:r>
          </w:p>
        </w:tc>
        <w:tc>
          <w:tcPr>
            <w:tcW w:w="873" w:type="dxa"/>
            <w:tcBorders>
              <w:top w:val="single" w:color="auto" w:sz="4" w:space="0"/>
              <w:left w:val="single" w:color="auto" w:sz="4" w:space="0"/>
              <w:bottom w:val="single" w:color="auto" w:sz="4" w:space="0"/>
              <w:right w:val="single" w:color="auto" w:sz="4" w:space="0"/>
            </w:tcBorders>
            <w:shd w:val="clear" w:color="FCD5B4" w:fill="FCD5B4"/>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4" w:hRule="atLeast"/>
        </w:trPr>
        <w:tc>
          <w:tcPr>
            <w:tcW w:w="3786"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实习实训（1059人）</w:t>
            </w:r>
          </w:p>
        </w:tc>
        <w:tc>
          <w:tcPr>
            <w:tcW w:w="886"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326</w:t>
            </w:r>
          </w:p>
        </w:tc>
        <w:tc>
          <w:tcPr>
            <w:tcW w:w="933"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437</w:t>
            </w:r>
          </w:p>
        </w:tc>
        <w:tc>
          <w:tcPr>
            <w:tcW w:w="1008"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241</w:t>
            </w:r>
          </w:p>
        </w:tc>
        <w:tc>
          <w:tcPr>
            <w:tcW w:w="752" w:type="dxa"/>
            <w:tcBorders>
              <w:top w:val="single" w:color="auto" w:sz="4" w:space="0"/>
              <w:left w:val="single" w:color="auto" w:sz="4" w:space="0"/>
              <w:bottom w:val="single" w:color="auto" w:sz="4" w:space="0"/>
              <w:right w:val="single" w:color="auto" w:sz="4" w:space="0"/>
            </w:tcBorders>
            <w:shd w:val="clear" w:color="FDE9D9" w:fill="FDE9D9"/>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38</w:t>
            </w:r>
          </w:p>
        </w:tc>
        <w:tc>
          <w:tcPr>
            <w:tcW w:w="873" w:type="dxa"/>
            <w:tcBorders>
              <w:top w:val="single" w:color="auto" w:sz="4" w:space="0"/>
              <w:left w:val="single" w:color="auto" w:sz="4" w:space="0"/>
              <w:bottom w:val="single" w:color="auto" w:sz="4" w:space="0"/>
              <w:right w:val="single" w:color="auto" w:sz="4" w:space="0"/>
            </w:tcBorders>
            <w:shd w:val="clear" w:color="FDE9D9" w:fill="FDE9D9"/>
            <w:vAlign w:val="center"/>
          </w:tcPr>
          <w:p>
            <w:pPr>
              <w:keepNext w:val="0"/>
              <w:keepLines w:val="0"/>
              <w:widowControl/>
              <w:suppressLineNumbers w:val="0"/>
              <w:jc w:val="center"/>
              <w:textAlignment w:val="center"/>
              <w:rPr>
                <w:rFonts w:hint="eastAsia" w:ascii="仿宋_GB2312" w:hAnsi="仿宋_GB2312" w:eastAsia="仿宋_GB2312" w:cs="仿宋_GB2312"/>
                <w:i w:val="0"/>
                <w:iCs w:val="0"/>
                <w:strike w:val="0"/>
                <w:dstrike w:val="0"/>
                <w:color w:val="000000"/>
                <w:sz w:val="24"/>
                <w:szCs w:val="24"/>
                <w:u w:val="none"/>
              </w:rPr>
            </w:pPr>
            <w:r>
              <w:rPr>
                <w:rFonts w:hint="eastAsia" w:ascii="仿宋_GB2312" w:hAnsi="仿宋_GB2312" w:eastAsia="仿宋_GB2312" w:cs="仿宋_GB2312"/>
                <w:i w:val="0"/>
                <w:iCs w:val="0"/>
                <w:strike w:val="0"/>
                <w:dstrike w:val="0"/>
                <w:color w:val="000000"/>
                <w:kern w:val="0"/>
                <w:sz w:val="24"/>
                <w:szCs w:val="24"/>
                <w:u w:val="none"/>
                <w:lang w:val="en-US" w:eastAsia="zh-CN" w:bidi="ar"/>
              </w:rPr>
              <w:t>17</w:t>
            </w:r>
          </w:p>
        </w:tc>
      </w:tr>
    </w:tbl>
    <w:p>
      <w:pPr>
        <w:pStyle w:val="5"/>
        <w:keepNext/>
        <w:keepLines/>
        <w:pageBreakBefore w:val="0"/>
        <w:widowControl w:val="0"/>
        <w:kinsoku/>
        <w:wordWrap/>
        <w:overflowPunct/>
        <w:topLinePunct w:val="0"/>
        <w:autoSpaceDE/>
        <w:autoSpaceDN/>
        <w:bidi w:val="0"/>
        <w:adjustRightInd/>
        <w:snapToGrid/>
        <w:spacing w:before="157" w:beforeLines="50" w:after="0" w:line="240" w:lineRule="auto"/>
        <w:textAlignment w:val="auto"/>
        <w:outlineLvl w:val="2"/>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pPr>
      <w:bookmarkStart w:id="118" w:name="_Toc27544"/>
      <w:bookmarkStart w:id="119" w:name="_Toc29310"/>
      <w:bookmarkStart w:id="120" w:name="_Toc20363"/>
      <w:bookmarkStart w:id="121" w:name="_Toc23126"/>
      <w:r>
        <w:rPr>
          <w:rFonts w:hint="eastAsia" w:ascii="仿宋_GB2312" w:eastAsia="仿宋_GB2312"/>
          <w:color w:val="00B0F0"/>
          <w:sz w:val="28"/>
          <w:szCs w:val="28"/>
          <w14:textFill>
            <w14:gradFill>
              <w14:gsLst>
                <w14:gs w14:pos="0">
                  <w14:srgbClr w14:val="007BD3"/>
                </w14:gs>
                <w14:gs w14:pos="100000">
                  <w14:srgbClr w14:val="034373"/>
                </w14:gs>
              </w14:gsLst>
              <w14:lin w14:scaled="0"/>
            </w14:gradFill>
          </w14:textFill>
        </w:rPr>
        <w:t>3.1.4 用人单位评价</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年，学校配合湖南省大中专毕业生就业指导中心第三方专业机构，对用人单位进行毕业生满意度随机问卷调查，共收回有效问卷</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32</w:t>
      </w:r>
      <w:r>
        <w:rPr>
          <w:rFonts w:hint="eastAsia" w:ascii="仿宋_GB2312" w:hAnsi="仿宋_GB2312" w:eastAsia="仿宋_GB2312" w:cs="仿宋_GB2312"/>
          <w:b w:val="0"/>
          <w:bCs w:val="0"/>
          <w:color w:val="000000" w:themeColor="text1"/>
          <w:sz w:val="28"/>
          <w:szCs w:val="28"/>
          <w14:textFill>
            <w14:solidFill>
              <w14:schemeClr w14:val="tx1"/>
            </w14:solidFill>
          </w14:textFill>
        </w:rPr>
        <w:t>份，调查结果显示：</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100%的用人单位对学校的“人才培养工作”、“校招聘服务和就业指导服务”和“</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毕业生的整体</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”表示非常满意和比较满意；100%的用人</w:t>
      </w:r>
      <w:r>
        <w:rPr>
          <w:rFonts w:hint="eastAsia" w:ascii="仿宋_GB2312" w:hAnsi="仿宋_GB2312" w:eastAsia="仿宋_GB2312" w:cs="仿宋_GB2312"/>
          <w:b w:val="0"/>
          <w:bCs w:val="0"/>
          <w:color w:val="000000" w:themeColor="text1"/>
          <w:sz w:val="28"/>
          <w:szCs w:val="28"/>
          <w14:textFill>
            <w14:solidFill>
              <w14:schemeClr w14:val="tx1"/>
            </w14:solidFill>
          </w14:textFill>
        </w:rPr>
        <w:t>单位对</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的“政治思想和道德品质”、“专业水平”的评价是非常好和比较好；96.88%的用人</w:t>
      </w:r>
      <w:r>
        <w:rPr>
          <w:rFonts w:hint="eastAsia" w:ascii="仿宋_GB2312" w:hAnsi="仿宋_GB2312" w:eastAsia="仿宋_GB2312" w:cs="仿宋_GB2312"/>
          <w:b w:val="0"/>
          <w:bCs w:val="0"/>
          <w:color w:val="000000" w:themeColor="text1"/>
          <w:sz w:val="28"/>
          <w:szCs w:val="28"/>
          <w14:textFill>
            <w14:solidFill>
              <w14:schemeClr w14:val="tx1"/>
            </w14:solidFill>
          </w14:textFill>
        </w:rPr>
        <w:t>单位</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对毕业生的“职业发展”表示非常有潜力和比较有潜力。</w:t>
      </w:r>
      <w:r>
        <w:rPr>
          <w:rFonts w:hint="eastAsia" w:ascii="仿宋_GB2312" w:hAnsi="仿宋_GB2312" w:eastAsia="仿宋_GB2312" w:cs="仿宋_GB2312"/>
          <w:b w:val="0"/>
          <w:bCs w:val="0"/>
          <w:color w:val="000000" w:themeColor="text1"/>
          <w:sz w:val="28"/>
          <w:szCs w:val="28"/>
          <w14:textFill>
            <w14:solidFill>
              <w14:schemeClr w14:val="tx1"/>
            </w14:solidFill>
          </w14:textFill>
        </w:rPr>
        <w:t>说明了近几年我校对学生培养目标的确定比较合理，在教学与就业指导中对学生专业知识、创新能力和个人素质的培养取得了一定的效果，具体情况见</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图</w:t>
      </w:r>
      <w:r>
        <w:rPr>
          <w:rFonts w:hint="eastAsia" w:ascii="仿宋_GB2312" w:hAnsi="仿宋_GB2312" w:eastAsia="仿宋_GB2312" w:cs="仿宋_GB2312"/>
          <w:b w:val="0"/>
          <w:bCs w:val="0"/>
          <w:color w:val="000000" w:themeColor="text1"/>
          <w:sz w:val="28"/>
          <w:szCs w:val="28"/>
          <w14:textFill>
            <w14:solidFill>
              <w14:schemeClr w14:val="tx1"/>
            </w14:solidFill>
          </w14:textFill>
        </w:rPr>
        <w:t>3-</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图</w:t>
      </w:r>
      <w:r>
        <w:rPr>
          <w:rFonts w:hint="eastAsia" w:ascii="仿宋_GB2312" w:hAnsi="仿宋_GB2312" w:eastAsia="仿宋_GB2312" w:cs="仿宋_GB2312"/>
          <w:b/>
          <w:sz w:val="28"/>
          <w:szCs w:val="28"/>
        </w:rPr>
        <w:t>3-</w:t>
      </w:r>
      <w:r>
        <w:rPr>
          <w:rFonts w:hint="eastAsia" w:ascii="仿宋_GB2312" w:hAnsi="仿宋_GB2312" w:eastAsia="仿宋_GB2312" w:cs="仿宋_GB2312"/>
          <w:b/>
          <w:sz w:val="28"/>
          <w:szCs w:val="28"/>
          <w:lang w:val="en-US" w:eastAsia="zh-CN"/>
        </w:rPr>
        <w:t xml:space="preserve">3  </w:t>
      </w:r>
      <w:r>
        <w:rPr>
          <w:rFonts w:hint="eastAsia" w:ascii="仿宋_GB2312" w:hAnsi="仿宋_GB2312" w:eastAsia="仿宋_GB2312" w:cs="仿宋_GB2312"/>
          <w:b/>
          <w:sz w:val="28"/>
          <w:szCs w:val="28"/>
        </w:rPr>
        <w:t>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年用人单位对我校毕业生评价状况</w:t>
      </w:r>
      <w:r>
        <w:rPr>
          <w:rFonts w:hint="eastAsia" w:ascii="仿宋_GB2312" w:hAnsi="仿宋_GB2312" w:eastAsia="仿宋_GB2312" w:cs="仿宋_GB2312"/>
          <w:b/>
          <w:sz w:val="28"/>
          <w:szCs w:val="28"/>
          <w:lang w:eastAsia="zh-CN"/>
        </w:rPr>
        <w:t>分析图</w:t>
      </w:r>
    </w:p>
    <w:p>
      <w:pPr>
        <w:spacing w:line="240" w:lineRule="auto"/>
        <w:ind w:right="560"/>
        <w:rPr>
          <w:rFonts w:hint="eastAsia"/>
        </w:rPr>
      </w:pPr>
      <w:r>
        <w:drawing>
          <wp:inline distT="0" distB="0" distL="114300" distR="114300">
            <wp:extent cx="5461000" cy="2903855"/>
            <wp:effectExtent l="0" t="0" r="635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61000" cy="2903855"/>
                    </a:xfrm>
                    <a:prstGeom prst="rect">
                      <a:avLst/>
                    </a:prstGeom>
                    <a:noFill/>
                    <a:ln>
                      <a:noFill/>
                    </a:ln>
                  </pic:spPr>
                </pic:pic>
              </a:graphicData>
            </a:graphic>
          </wp:inline>
        </w:drawing>
      </w:r>
      <w:bookmarkStart w:id="122" w:name="_Toc21742"/>
    </w:p>
    <w:p>
      <w:pPr>
        <w:rPr>
          <w:rFonts w:hint="eastAsia" w:ascii="黑体" w:hAnsi="黑体" w:eastAsia="黑体"/>
          <w:color w:val="00B0F0"/>
          <w:kern w:val="0"/>
          <w:sz w:val="32"/>
          <w:szCs w:val="32"/>
        </w:rPr>
      </w:pPr>
      <w:r>
        <w:rPr>
          <w:rFonts w:hint="eastAsia" w:ascii="黑体" w:hAnsi="黑体" w:eastAsia="黑体"/>
          <w:color w:val="00B0F0"/>
          <w:kern w:val="0"/>
          <w:sz w:val="32"/>
          <w:szCs w:val="32"/>
        </w:rPr>
        <w:br w:type="page"/>
      </w:r>
    </w:p>
    <w:p>
      <w:pPr>
        <w:pStyle w:val="3"/>
        <w:numPr>
          <w:ilvl w:val="0"/>
          <w:numId w:val="1"/>
        </w:numPr>
        <w:jc w:val="center"/>
        <w:outlineLvl w:val="0"/>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pPr>
      <w:bookmarkStart w:id="123" w:name="_Toc6783"/>
      <w:bookmarkStart w:id="124" w:name="_Toc2010"/>
      <w:r>
        <w:rPr>
          <w:rFonts w:hint="eastAsia" w:ascii="黑体" w:hAnsi="黑体" w:eastAsia="黑体"/>
          <w:color w:val="00B0F0"/>
          <w:kern w:val="0"/>
          <w:sz w:val="30"/>
          <w:szCs w:val="30"/>
          <w:lang w:val="en-US" w:eastAsia="zh-CN"/>
          <w14:textFill>
            <w14:gradFill>
              <w14:gsLst>
                <w14:gs w14:pos="0">
                  <w14:srgbClr w14:val="007BD3"/>
                </w14:gs>
                <w14:gs w14:pos="100000">
                  <w14:srgbClr w14:val="034373"/>
                </w14:gs>
              </w14:gsLst>
              <w14:lin w14:scaled="0"/>
            </w14:gradFill>
          </w14:textFill>
        </w:rPr>
        <w:t xml:space="preserve">  </w:t>
      </w:r>
      <w:bookmarkStart w:id="125" w:name="_Toc17757"/>
      <w:r>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t>对教育教学的反馈</w:t>
      </w:r>
      <w:bookmarkEnd w:id="122"/>
      <w:bookmarkEnd w:id="123"/>
      <w:bookmarkEnd w:id="124"/>
      <w:bookmarkEnd w:id="12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2021年，</w:t>
      </w:r>
      <w:r>
        <w:rPr>
          <w:rFonts w:hint="eastAsia" w:ascii="仿宋_GB2312" w:hAnsi="仿宋_GB2312" w:eastAsia="仿宋_GB2312" w:cs="仿宋_GB2312"/>
          <w:b w:val="0"/>
          <w:bCs w:val="0"/>
          <w:color w:val="000000" w:themeColor="text1"/>
          <w:sz w:val="28"/>
          <w:szCs w:val="28"/>
          <w14:textFill>
            <w14:solidFill>
              <w14:schemeClr w14:val="tx1"/>
            </w14:solidFill>
          </w14:textFill>
        </w:rPr>
        <w:t>学校配合湖南省大中专毕业生就业指导中心第三方评价机构，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组织</w:t>
      </w:r>
      <w:r>
        <w:rPr>
          <w:rFonts w:hint="eastAsia" w:ascii="仿宋_GB2312" w:hAnsi="仿宋_GB2312" w:eastAsia="仿宋_GB2312" w:cs="仿宋_GB2312"/>
          <w:b w:val="0"/>
          <w:bCs w:val="0"/>
          <w:color w:val="000000" w:themeColor="text1"/>
          <w:sz w:val="28"/>
          <w:szCs w:val="28"/>
          <w14:textFill>
            <w14:solidFill>
              <w14:schemeClr w14:val="tx1"/>
            </w14:solidFill>
          </w14:textFill>
        </w:rPr>
        <w:t>我校毕业生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和用人单位</w:t>
      </w:r>
      <w:r>
        <w:rPr>
          <w:rFonts w:hint="eastAsia" w:ascii="仿宋_GB2312" w:hAnsi="仿宋_GB2312" w:eastAsia="仿宋_GB2312" w:cs="仿宋_GB2312"/>
          <w:b w:val="0"/>
          <w:bCs w:val="0"/>
          <w:color w:val="000000" w:themeColor="text1"/>
          <w:sz w:val="28"/>
          <w:szCs w:val="28"/>
          <w14:textFill>
            <w14:solidFill>
              <w14:schemeClr w14:val="tx1"/>
            </w14:solidFill>
          </w14:textFill>
        </w:rPr>
        <w:t>以调研问卷的形式</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对“</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所学专业的了解程度</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人才培养整体情况</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所学的专业课程能</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否</w:t>
      </w:r>
      <w:r>
        <w:rPr>
          <w:rFonts w:hint="eastAsia" w:ascii="仿宋_GB2312" w:hAnsi="仿宋_GB2312" w:eastAsia="仿宋_GB2312" w:cs="仿宋_GB2312"/>
          <w:b w:val="0"/>
          <w:bCs w:val="0"/>
          <w:color w:val="000000" w:themeColor="text1"/>
          <w:sz w:val="28"/>
          <w:szCs w:val="28"/>
          <w14:textFill>
            <w14:solidFill>
              <w14:schemeClr w14:val="tx1"/>
            </w14:solidFill>
          </w14:textFill>
        </w:rPr>
        <w:t>满足就业岗位的技能要求</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学校老师们的整体授课水平</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学校的课程安排合理性</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学校的实践教学(含实习、实践、见习等)水平</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”等指标进行评价，整体满意度较高，反馈情况较好</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p>
    <w:p>
      <w:pPr>
        <w:pStyle w:val="94"/>
        <w:ind w:firstLine="0" w:firstLineChars="0"/>
        <w:outlineLvl w:val="1"/>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pPr>
      <w:bookmarkStart w:id="126" w:name="_Toc20162"/>
      <w:bookmarkStart w:id="127" w:name="_Toc32387"/>
      <w:bookmarkStart w:id="128" w:name="_Toc23065"/>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4.1 毕业生对学校人才培养和教育教学的反馈</w:t>
      </w:r>
      <w:bookmarkEnd w:id="126"/>
      <w:bookmarkEnd w:id="127"/>
      <w:bookmarkEnd w:id="128"/>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29" w:name="_Toc3906"/>
      <w:bookmarkStart w:id="130" w:name="_Toc17353"/>
      <w:bookmarkStart w:id="131" w:name="_Toc2451"/>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4.1.1 学校人才培养整体满意度</w:t>
      </w:r>
      <w:bookmarkEnd w:id="129"/>
      <w:bookmarkEnd w:id="130"/>
      <w:bookmarkEnd w:id="131"/>
    </w:p>
    <w:p>
      <w:pPr>
        <w:pStyle w:val="133"/>
        <w:keepNext w:val="0"/>
        <w:keepLines w:val="0"/>
        <w:pageBreakBefore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学校配合湖南省大中专毕业生就业指导中心第三方评价机构</w:t>
      </w:r>
      <w:r>
        <w:rPr>
          <w:rFonts w:hint="eastAsia" w:ascii="仿宋_GB2312" w:hAnsi="仿宋_GB2312" w:eastAsia="仿宋_GB2312" w:cs="仿宋_GB2312"/>
          <w:color w:val="000000"/>
          <w:sz w:val="28"/>
          <w:szCs w:val="28"/>
          <w:shd w:val="clear" w:color="auto" w:fill="FFFFFF"/>
        </w:rPr>
        <w:t>对</w:t>
      </w:r>
      <w:r>
        <w:rPr>
          <w:rFonts w:hint="eastAsia" w:ascii="仿宋_GB2312" w:hAnsi="仿宋_GB2312" w:eastAsia="仿宋_GB2312" w:cs="仿宋_GB2312"/>
          <w:color w:val="000000"/>
          <w:sz w:val="28"/>
          <w:szCs w:val="28"/>
          <w:shd w:val="clear" w:color="auto" w:fill="FFFFFF"/>
          <w:lang w:eastAsia="zh-CN"/>
        </w:rPr>
        <w:t>学校</w:t>
      </w:r>
      <w:r>
        <w:rPr>
          <w:rFonts w:hint="eastAsia" w:ascii="仿宋_GB2312" w:hAnsi="仿宋_GB2312" w:eastAsia="仿宋_GB2312" w:cs="仿宋_GB2312"/>
          <w:color w:val="000000"/>
          <w:sz w:val="28"/>
          <w:szCs w:val="28"/>
          <w:shd w:val="clear" w:color="auto" w:fill="FFFFFF"/>
        </w:rPr>
        <w:t>人才培养整体情况的</w:t>
      </w:r>
      <w:r>
        <w:rPr>
          <w:rFonts w:hint="eastAsia" w:ascii="仿宋_GB2312" w:hAnsi="仿宋_GB2312" w:eastAsia="仿宋_GB2312" w:cs="仿宋_GB2312"/>
          <w:color w:val="000000"/>
          <w:sz w:val="28"/>
          <w:szCs w:val="28"/>
          <w:shd w:val="clear" w:color="auto" w:fill="FFFFFF"/>
          <w:lang w:eastAsia="zh-CN"/>
        </w:rPr>
        <w:t>调研，共收回有效问卷</w:t>
      </w:r>
      <w:r>
        <w:rPr>
          <w:rFonts w:hint="eastAsia" w:ascii="仿宋_GB2312" w:hAnsi="仿宋_GB2312" w:eastAsia="仿宋_GB2312" w:cs="仿宋_GB2312"/>
          <w:color w:val="000000"/>
          <w:sz w:val="28"/>
          <w:szCs w:val="28"/>
          <w:shd w:val="clear" w:color="auto" w:fill="FFFFFF"/>
          <w:lang w:val="en-US" w:eastAsia="zh-CN"/>
        </w:rPr>
        <w:t>1059份，</w:t>
      </w:r>
      <w:r>
        <w:rPr>
          <w:rFonts w:hint="eastAsia" w:ascii="仿宋_GB2312" w:hAnsi="仿宋_GB2312" w:eastAsia="仿宋_GB2312" w:cs="仿宋_GB2312"/>
          <w:sz w:val="28"/>
          <w:szCs w:val="28"/>
          <w:lang w:eastAsia="zh-CN"/>
        </w:rPr>
        <w:t>调查结果显示：</w:t>
      </w:r>
      <w:r>
        <w:rPr>
          <w:rFonts w:hint="eastAsia" w:ascii="仿宋_GB2312" w:hAnsi="仿宋_GB2312" w:eastAsia="仿宋_GB2312" w:cs="仿宋_GB2312"/>
          <w:color w:val="000000"/>
          <w:sz w:val="28"/>
          <w:szCs w:val="28"/>
          <w:shd w:val="clear" w:color="auto" w:fill="FFFFFF"/>
          <w:lang w:val="en-US" w:eastAsia="zh-CN"/>
        </w:rPr>
        <w:t>非常满意35人，</w:t>
      </w:r>
      <w:r>
        <w:rPr>
          <w:rFonts w:hint="eastAsia" w:ascii="仿宋_GB2312" w:hAnsi="仿宋_GB2312" w:eastAsia="仿宋_GB2312" w:cs="仿宋_GB2312"/>
          <w:color w:val="000000"/>
          <w:sz w:val="28"/>
          <w:szCs w:val="28"/>
          <w:shd w:val="clear" w:color="auto" w:fill="FFFFFF"/>
          <w:lang w:eastAsia="zh-CN"/>
        </w:rPr>
        <w:t>比较满意</w:t>
      </w:r>
      <w:r>
        <w:rPr>
          <w:rFonts w:hint="eastAsia" w:ascii="仿宋_GB2312" w:hAnsi="仿宋_GB2312" w:eastAsia="仿宋_GB2312" w:cs="仿宋_GB2312"/>
          <w:color w:val="000000"/>
          <w:sz w:val="28"/>
          <w:szCs w:val="28"/>
          <w:shd w:val="clear" w:color="auto" w:fill="FFFFFF"/>
          <w:lang w:val="en-US" w:eastAsia="zh-CN"/>
        </w:rPr>
        <w:t>233人，一般546人，不太满意194人，不满意51人。25.31</w:t>
      </w:r>
      <w:r>
        <w:rPr>
          <w:rFonts w:hint="eastAsia" w:ascii="仿宋_GB2312" w:hAnsi="仿宋_GB2312" w:eastAsia="仿宋_GB2312" w:cs="仿宋_GB2312"/>
          <w:sz w:val="28"/>
          <w:szCs w:val="28"/>
          <w:lang w:val="en-US" w:eastAsia="zh-CN"/>
        </w:rPr>
        <w:t>%的毕业生</w:t>
      </w:r>
      <w:r>
        <w:rPr>
          <w:rFonts w:hint="eastAsia" w:ascii="仿宋_GB2312" w:hAnsi="仿宋_GB2312" w:eastAsia="仿宋_GB2312" w:cs="仿宋_GB2312"/>
          <w:sz w:val="28"/>
          <w:szCs w:val="28"/>
        </w:rPr>
        <w:t>对母校的人才培养整体</w:t>
      </w:r>
      <w:r>
        <w:rPr>
          <w:rFonts w:hint="eastAsia" w:ascii="仿宋_GB2312" w:hAnsi="仿宋_GB2312" w:eastAsia="仿宋_GB2312" w:cs="仿宋_GB2312"/>
          <w:sz w:val="28"/>
          <w:szCs w:val="28"/>
          <w:lang w:eastAsia="zh-CN"/>
        </w:rPr>
        <w:t>表示非常满意和比较满意；</w:t>
      </w:r>
      <w:r>
        <w:rPr>
          <w:rFonts w:hint="eastAsia" w:ascii="仿宋_GB2312" w:hAnsi="仿宋_GB2312" w:eastAsia="仿宋_GB2312" w:cs="仿宋_GB2312"/>
          <w:sz w:val="28"/>
          <w:szCs w:val="28"/>
          <w:lang w:val="en-US" w:eastAsia="zh-CN"/>
        </w:rPr>
        <w:t>具体情况见图4-1。</w:t>
      </w:r>
    </w:p>
    <w:p>
      <w:pPr>
        <w:ind w:firstLine="1687" w:firstLineChars="600"/>
        <w:rPr>
          <w:rFonts w:hint="eastAsia"/>
          <w:lang w:val="en-US" w:eastAsia="zh-CN"/>
        </w:rPr>
      </w:pPr>
      <w:r>
        <w:rPr>
          <w:rFonts w:hint="eastAsia" w:ascii="仿宋_GB2312" w:hAnsi="仿宋_GB2312" w:eastAsia="仿宋_GB2312" w:cs="仿宋_GB2312"/>
          <w:b/>
          <w:sz w:val="28"/>
          <w:szCs w:val="28"/>
          <w:lang w:val="en-US" w:eastAsia="zh-CN"/>
        </w:rPr>
        <w:t>图4-1  毕业生</w:t>
      </w:r>
      <w:r>
        <w:rPr>
          <w:rFonts w:hint="eastAsia" w:ascii="仿宋_GB2312" w:hAnsi="仿宋_GB2312" w:eastAsia="仿宋_GB2312" w:cs="仿宋_GB2312"/>
          <w:b/>
          <w:sz w:val="28"/>
          <w:szCs w:val="28"/>
        </w:rPr>
        <w:t>对母校人才培养整体</w:t>
      </w:r>
      <w:r>
        <w:rPr>
          <w:rFonts w:hint="eastAsia" w:ascii="仿宋_GB2312" w:hAnsi="仿宋_GB2312" w:eastAsia="仿宋_GB2312" w:cs="仿宋_GB2312"/>
          <w:b/>
          <w:sz w:val="28"/>
          <w:szCs w:val="28"/>
          <w:lang w:eastAsia="zh-CN"/>
        </w:rPr>
        <w:t>评价图</w:t>
      </w:r>
      <w:r>
        <w:rPr>
          <w:rFonts w:hint="eastAsia" w:ascii="仿宋_GB2312" w:hAnsi="仿宋_GB2312" w:eastAsia="仿宋_GB2312" w:cs="仿宋_GB2312"/>
          <w:b/>
          <w:sz w:val="28"/>
          <w:szCs w:val="28"/>
          <w:lang w:val="en-US" w:eastAsia="zh-CN"/>
        </w:rPr>
        <w:t xml:space="preserve"> </w:t>
      </w:r>
      <w:r>
        <w:rPr>
          <w:rFonts w:hint="eastAsia"/>
          <w:lang w:val="en-US" w:eastAsia="zh-CN"/>
        </w:rPr>
        <w:t xml:space="preserve">   </w:t>
      </w:r>
    </w:p>
    <w:p>
      <w:pPr>
        <w:pStyle w:val="2"/>
        <w:rPr>
          <w:rFonts w:hint="eastAsia" w:ascii="黑体" w:hAnsi="黑体" w:eastAsia="黑体" w:cs="宋体"/>
          <w:color w:val="000000" w:themeColor="text1"/>
          <w:kern w:val="0"/>
          <w:sz w:val="24"/>
          <w:szCs w:val="24"/>
          <w:lang w:val="en-US" w:eastAsia="zh-CN"/>
          <w14:textFill>
            <w14:gradFill>
              <w14:gsLst>
                <w14:gs w14:pos="0">
                  <w14:srgbClr w14:val="007BD3"/>
                </w14:gs>
                <w14:gs w14:pos="100000">
                  <w14:srgbClr w14:val="034373"/>
                </w14:gs>
              </w14:gsLst>
              <w14:lin w14:scaled="0"/>
            </w14:gradFill>
          </w14:textFill>
        </w:rPr>
      </w:pPr>
      <w:r>
        <w:drawing>
          <wp:inline distT="0" distB="0" distL="114300" distR="114300">
            <wp:extent cx="4857115" cy="2485390"/>
            <wp:effectExtent l="0" t="0" r="635"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a:stretch>
                      <a:fillRect/>
                    </a:stretch>
                  </pic:blipFill>
                  <pic:spPr>
                    <a:xfrm>
                      <a:off x="0" y="0"/>
                      <a:ext cx="4857115" cy="2485390"/>
                    </a:xfrm>
                    <a:prstGeom prst="rect">
                      <a:avLst/>
                    </a:prstGeom>
                    <a:noFill/>
                    <a:ln>
                      <a:noFill/>
                    </a:ln>
                  </pic:spPr>
                </pic:pic>
              </a:graphicData>
            </a:graphic>
          </wp:inline>
        </w:drawing>
      </w:r>
    </w:p>
    <w:p>
      <w:pPr>
        <w:outlineLvl w:val="2"/>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32" w:name="_Toc14802"/>
      <w:bookmarkStart w:id="133" w:name="_Toc12193"/>
      <w:bookmarkStart w:id="134" w:name="_Toc28883"/>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4.1.2 学校课程安排合理性的</w:t>
      </w:r>
      <w:bookmarkEnd w:id="132"/>
      <w:bookmarkEnd w:id="133"/>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评价</w:t>
      </w:r>
      <w:bookmarkEnd w:id="134"/>
    </w:p>
    <w:p>
      <w:pPr>
        <w:pStyle w:val="13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华文仿宋" w:hAnsi="华文仿宋" w:eastAsia="华文仿宋"/>
          <w:color w:val="000000"/>
          <w:sz w:val="28"/>
          <w:szCs w:val="28"/>
          <w:shd w:val="clear" w:color="auto" w:fill="FFFFFF"/>
          <w:lang w:val="en-US" w:eastAsia="zh-CN"/>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drawing>
          <wp:anchor distT="0" distB="0" distL="114300" distR="114300" simplePos="0" relativeHeight="251661312" behindDoc="0" locked="0" layoutInCell="1" allowOverlap="1">
            <wp:simplePos x="0" y="0"/>
            <wp:positionH relativeFrom="column">
              <wp:posOffset>2647950</wp:posOffset>
            </wp:positionH>
            <wp:positionV relativeFrom="paragraph">
              <wp:posOffset>2419985</wp:posOffset>
            </wp:positionV>
            <wp:extent cx="2568575" cy="1364615"/>
            <wp:effectExtent l="0" t="0" r="3175" b="6985"/>
            <wp:wrapNone/>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0"/>
                    <a:stretch>
                      <a:fillRect/>
                    </a:stretch>
                  </pic:blipFill>
                  <pic:spPr>
                    <a:xfrm>
                      <a:off x="0" y="0"/>
                      <a:ext cx="2568575" cy="1364615"/>
                    </a:xfrm>
                    <a:prstGeom prst="rect">
                      <a:avLst/>
                    </a:prstGeom>
                    <a:noFill/>
                    <a:ln>
                      <a:noFill/>
                    </a:ln>
                  </pic:spPr>
                </pic:pic>
              </a:graphicData>
            </a:graphic>
          </wp:anchor>
        </w:drawing>
      </w: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调查结果显示：在对学校课程安排是否合理的1059份有效问卷中，表示非常合理的26人，比较合理459人，一般475人，不太合理84人，不合理15人，45.80%的毕业生认为学校的课程安排非常合理和比较合理；在所学的专业课程能否满足就业岗位的技能要求的问卷调查中，共有513份有效问卷，其中：完全满足24人，大概满足249人，不太满足159人，不满足43人，不太清楚，需进一步实践38人。具体情况见图4-2、4-3。</w:t>
      </w:r>
    </w:p>
    <w:p>
      <w:pPr>
        <w:rPr>
          <w:rFonts w:hint="eastAsia"/>
          <w:sz w:val="28"/>
          <w:szCs w:val="28"/>
          <w:lang w:val="en-US" w:eastAsia="zh-CN"/>
        </w:rPr>
      </w:pPr>
      <w:r>
        <w:drawing>
          <wp:inline distT="0" distB="0" distL="114300" distR="114300">
            <wp:extent cx="2647315" cy="1355090"/>
            <wp:effectExtent l="0" t="0" r="635" b="165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a:stretch>
                      <a:fillRect/>
                    </a:stretch>
                  </pic:blipFill>
                  <pic:spPr>
                    <a:xfrm>
                      <a:off x="0" y="0"/>
                      <a:ext cx="2647315" cy="1355090"/>
                    </a:xfrm>
                    <a:prstGeom prst="rect">
                      <a:avLst/>
                    </a:prstGeom>
                    <a:noFill/>
                    <a:ln>
                      <a:noFill/>
                    </a:ln>
                  </pic:spPr>
                </pic:pic>
              </a:graphicData>
            </a:graphic>
          </wp:inline>
        </w:drawing>
      </w:r>
    </w:p>
    <w:p>
      <w:pPr>
        <w:outlineLvl w:val="2"/>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35" w:name="_Toc24044"/>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4.1.3 学校教师整体授课水平的评价</w:t>
      </w:r>
      <w:bookmarkEnd w:id="135"/>
    </w:p>
    <w:p>
      <w:pPr>
        <w:pStyle w:val="13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280" w:firstLineChars="100"/>
        <w:textAlignment w:val="auto"/>
        <w:outlineLvl w:val="9"/>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在1059份调查问卷中，42人认为学校老师的整体授课水平非常高，高的515人，一般478人，较差17人，差7人。52.60%的毕业生认为学校老师们的整体授课水平非常高和高；具体情况见图4-4。</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图4-4  学校教师整体授课水平评价图</w:t>
      </w:r>
    </w:p>
    <w:p>
      <w:pPr>
        <w:pStyle w:val="2"/>
        <w:outlineLvl w:val="9"/>
        <w:rPr>
          <w:rFonts w:hint="default"/>
          <w:sz w:val="28"/>
          <w:szCs w:val="28"/>
          <w:lang w:val="en-US" w:eastAsia="zh-CN"/>
          <w14:textFill>
            <w14:gradFill>
              <w14:gsLst>
                <w14:gs w14:pos="0">
                  <w14:srgbClr w14:val="007BD3"/>
                </w14:gs>
                <w14:gs w14:pos="100000">
                  <w14:srgbClr w14:val="034373"/>
                </w14:gs>
              </w14:gsLst>
              <w14:lin w14:scaled="0"/>
            </w14:gradFill>
          </w14:textFill>
        </w:rPr>
      </w:pPr>
      <w:r>
        <w:rPr>
          <w:rFonts w:hint="eastAsia"/>
          <w:sz w:val="28"/>
          <w:szCs w:val="28"/>
          <w:lang w:val="en-US" w:eastAsia="zh-CN"/>
          <w14:textFill>
            <w14:gradFill>
              <w14:gsLst>
                <w14:gs w14:pos="0">
                  <w14:srgbClr w14:val="007BD3"/>
                </w14:gs>
                <w14:gs w14:pos="100000">
                  <w14:srgbClr w14:val="034373"/>
                </w14:gs>
              </w14:gsLst>
              <w14:lin w14:scaled="0"/>
            </w14:gradFill>
          </w14:textFill>
        </w:rPr>
        <w:t xml:space="preserve"> </w:t>
      </w:r>
      <w:r>
        <w:drawing>
          <wp:inline distT="0" distB="0" distL="114300" distR="114300">
            <wp:extent cx="4610735" cy="2455545"/>
            <wp:effectExtent l="0" t="0" r="18415" b="190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2"/>
                    <a:stretch>
                      <a:fillRect/>
                    </a:stretch>
                  </pic:blipFill>
                  <pic:spPr>
                    <a:xfrm>
                      <a:off x="0" y="0"/>
                      <a:ext cx="4610735" cy="2455545"/>
                    </a:xfrm>
                    <a:prstGeom prst="rect">
                      <a:avLst/>
                    </a:prstGeom>
                    <a:noFill/>
                    <a:ln>
                      <a:noFill/>
                    </a:ln>
                  </pic:spPr>
                </pic:pic>
              </a:graphicData>
            </a:graphic>
          </wp:inline>
        </w:drawing>
      </w:r>
    </w:p>
    <w:p>
      <w:pPr>
        <w:outlineLvl w:val="2"/>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36" w:name="_Toc12352"/>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4.1.4 学校实践教学水平的评价</w:t>
      </w:r>
      <w:bookmarkEnd w:id="136"/>
    </w:p>
    <w:p>
      <w:pPr>
        <w:pStyle w:val="13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outlineLvl w:val="9"/>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2021年，1059名毕业生对学校的实践教学(含实习、实践、见习等)水平进行评价，表示非常高的24人，较高307人，一般642人，较差74人，非常差12人；具体情况见图4-5。</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图4-5  毕业生</w:t>
      </w:r>
      <w:r>
        <w:rPr>
          <w:rFonts w:hint="eastAsia" w:ascii="仿宋_GB2312" w:hAnsi="仿宋_GB2312" w:eastAsia="仿宋_GB2312" w:cs="仿宋_GB2312"/>
          <w:b/>
          <w:sz w:val="28"/>
          <w:szCs w:val="28"/>
        </w:rPr>
        <w:t>对</w:t>
      </w:r>
      <w:r>
        <w:rPr>
          <w:rFonts w:hint="eastAsia" w:ascii="仿宋_GB2312" w:hAnsi="仿宋_GB2312" w:eastAsia="仿宋_GB2312" w:cs="仿宋_GB2312"/>
          <w:b/>
          <w:sz w:val="28"/>
          <w:szCs w:val="28"/>
          <w:lang w:val="en-US" w:eastAsia="zh-CN"/>
        </w:rPr>
        <w:t>学校实践教学的评价图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仿宋_GB2312" w:hAnsi="仿宋_GB2312" w:eastAsia="仿宋_GB2312" w:cs="仿宋_GB2312"/>
          <w:b w:val="0"/>
          <w:bCs w:val="0"/>
          <w:color w:val="000000" w:themeColor="text1"/>
          <w:sz w:val="28"/>
          <w:szCs w:val="28"/>
          <w14:textFill>
            <w14:solidFill>
              <w14:schemeClr w14:val="tx1"/>
            </w14:solidFill>
          </w14:textFill>
        </w:rPr>
      </w:pPr>
      <w:bookmarkStart w:id="137" w:name="_Toc22821"/>
      <w:bookmarkStart w:id="138" w:name="_Toc27020"/>
      <w:bookmarkStart w:id="139" w:name="_Toc30978"/>
      <w:bookmarkStart w:id="140" w:name="_Toc437501635"/>
      <w:r>
        <w:drawing>
          <wp:inline distT="0" distB="0" distL="114300" distR="114300">
            <wp:extent cx="4596130" cy="2491105"/>
            <wp:effectExtent l="0" t="0" r="13970" b="444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3"/>
                    <a:stretch>
                      <a:fillRect/>
                    </a:stretch>
                  </pic:blipFill>
                  <pic:spPr>
                    <a:xfrm>
                      <a:off x="0" y="0"/>
                      <a:ext cx="4596130" cy="2491105"/>
                    </a:xfrm>
                    <a:prstGeom prst="rect">
                      <a:avLst/>
                    </a:prstGeom>
                    <a:noFill/>
                    <a:ln>
                      <a:noFill/>
                    </a:ln>
                  </pic:spPr>
                </pic:pic>
              </a:graphicData>
            </a:graphic>
          </wp:inline>
        </w:drawing>
      </w:r>
    </w:p>
    <w:p>
      <w:pPr>
        <w:outlineLvl w:val="2"/>
        <w:rPr>
          <w:rFonts w:hint="default"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41" w:name="_Toc9686"/>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4.1.5 学校就业创业工作的评价</w:t>
      </w:r>
      <w:bookmarkEnd w:id="14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年，学校配合湖南省大中专毕业生就业指导中心第三方专业机构，对“学校就业创业工作”在网上进行问卷调查（5分为最高分，1分为最低1分）。就业指导课636人参入调研，评价5分的283人，占44.50%；创新创业类课程1051人参入调研，5分的296人，占28.16%；就业创业个体咨询656人参入调研，5分400人，占60.98%；1059人参入政策宣讲、职业辅导和就业创业讲座等活动的调研，5分265人，占25.02%;1059人参入校园招聘与宣讲的调研，5分318人，占30.03%；1059人参入实习实训调研，5分326人，占30.78%。</w:t>
      </w:r>
    </w:p>
    <w:bookmarkEnd w:id="137"/>
    <w:bookmarkEnd w:id="138"/>
    <w:bookmarkEnd w:id="139"/>
    <w:bookmarkEnd w:id="140"/>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42" w:name="_Toc16524"/>
      <w:bookmarkStart w:id="143" w:name="_Toc10791"/>
      <w:bookmarkStart w:id="144" w:name="_Toc21197"/>
      <w:bookmarkStart w:id="145" w:name="_Toc4881"/>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4.</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2 </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用人单位对人才培养质量的评价</w:t>
      </w:r>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年，学校配合湖南省大中专毕业生就业指导中心第三方专业机构，对</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培养质量</w:t>
      </w:r>
      <w:r>
        <w:rPr>
          <w:rFonts w:hint="eastAsia" w:ascii="仿宋_GB2312" w:hAnsi="仿宋_GB2312" w:eastAsia="仿宋_GB2312" w:cs="仿宋_GB2312"/>
          <w:b w:val="0"/>
          <w:bCs w:val="0"/>
          <w:color w:val="000000" w:themeColor="text1"/>
          <w:sz w:val="28"/>
          <w:szCs w:val="28"/>
          <w14:textFill>
            <w14:solidFill>
              <w14:schemeClr w14:val="tx1"/>
            </w14:solidFill>
          </w14:textFill>
        </w:rPr>
        <w:t>满意度进行随机问卷调查，共收回有效问卷</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32</w:t>
      </w:r>
      <w:r>
        <w:rPr>
          <w:rFonts w:hint="eastAsia" w:ascii="仿宋_GB2312" w:hAnsi="仿宋_GB2312" w:eastAsia="仿宋_GB2312" w:cs="仿宋_GB2312"/>
          <w:b w:val="0"/>
          <w:bCs w:val="0"/>
          <w:color w:val="000000" w:themeColor="text1"/>
          <w:sz w:val="28"/>
          <w:szCs w:val="28"/>
          <w14:textFill>
            <w14:solidFill>
              <w14:schemeClr w14:val="tx1"/>
            </w14:solidFill>
          </w14:textFill>
        </w:rPr>
        <w:t>份，调查结果显示：</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71.88%的用人单位对我校毕业生的整体满意度表示非常满意，28.12%的表示比较满意；用人单位对我校毕业生在工作态度方面最值得肯定的地方是“责任心和勇于担当的精神”、“积极主动、进取心”和“对工作的忠诚度和认同感”；在专业水平方面最值得肯定的地方是“专业知识”、“知识技能适应时代的程度”和“理论知识”；在职业能力方面最值得肯定的地方是“学习能力”、“执行能力”和“团队协作能力”；对我校就业服务工作最为满意的是“就业网站建设及信息服务”、“招聘场地安排对接”；同时，用人单位认为我校在就业服务方面需加强的地方是“加强校企合作”；用人单位认为我校在人才培养方面应重点放在在“创新能力的培养”、“职业素质的培养”和“专业知识的传授”等方面</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bookmarkStart w:id="146" w:name="_Toc13635"/>
    </w:p>
    <w:p>
      <w:pPr>
        <w:pStyle w:val="94"/>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47" w:name="_Toc13773"/>
      <w:bookmarkStart w:id="148" w:name="_Toc20704"/>
      <w:bookmarkStart w:id="149" w:name="_Toc26204"/>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4.</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3</w:t>
      </w:r>
      <w:bookmarkEnd w:id="146"/>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 改进措施</w:t>
      </w:r>
      <w:bookmarkEnd w:id="147"/>
      <w:bookmarkEnd w:id="148"/>
      <w:bookmarkEnd w:id="14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pPr>
      <w:bookmarkStart w:id="150" w:name="_Toc18888"/>
      <w:r>
        <w:rPr>
          <w:rFonts w:hint="eastAsia" w:ascii="仿宋_GB2312" w:hAnsi="仿宋_GB2312" w:eastAsia="仿宋_GB2312" w:cs="仿宋_GB2312"/>
          <w:b w:val="0"/>
          <w:bCs w:val="0"/>
          <w:color w:val="000000" w:themeColor="text1"/>
          <w:sz w:val="28"/>
          <w:szCs w:val="28"/>
          <w14:textFill>
            <w14:solidFill>
              <w14:schemeClr w14:val="tx1"/>
            </w14:solidFill>
          </w14:textFill>
        </w:rPr>
        <w:t>学校高度重视就业对招生、人才培养、学科建设的反馈作用，</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通过了解毕业生就业质量，持续深化教育教学改革，科学优化人才培养方案，不断改进就业指导与服务，从而更好地提升人才培养水平并促进毕业生更高质量、更充分就业。</w:t>
      </w:r>
    </w:p>
    <w:p>
      <w:pPr>
        <w:outlineLvl w:val="2"/>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51" w:name="_Toc14041"/>
      <w:bookmarkStart w:id="152" w:name="_Toc19643"/>
      <w:bookmarkStart w:id="153" w:name="_Toc3282"/>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4.3.1 进一步优化教育教学人才培养方案</w:t>
      </w:r>
      <w:bookmarkEnd w:id="151"/>
      <w:bookmarkEnd w:id="152"/>
      <w:bookmarkEnd w:id="153"/>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sz w:val="28"/>
          <w:szCs w:val="28"/>
          <w:lang w:eastAsia="zh-CN"/>
        </w:rPr>
        <w:t>学校将</w:t>
      </w:r>
      <w:r>
        <w:rPr>
          <w:rFonts w:hint="eastAsia" w:ascii="仿宋_GB2312" w:hAnsi="仿宋_GB2312" w:eastAsia="仿宋_GB2312" w:cs="仿宋_GB2312"/>
          <w:sz w:val="28"/>
          <w:szCs w:val="28"/>
          <w:lang w:val="en-US" w:eastAsia="zh-CN"/>
        </w:rPr>
        <w:t>进一步强化社会评价对教育教学质量评价的主体作用，</w:t>
      </w:r>
      <w:r>
        <w:rPr>
          <w:rFonts w:hint="eastAsia" w:ascii="仿宋_GB2312" w:hAnsi="仿宋_GB2312" w:eastAsia="仿宋_GB2312" w:cs="仿宋_GB2312"/>
          <w:b w:val="0"/>
          <w:bCs/>
          <w:color w:val="auto"/>
          <w:sz w:val="28"/>
          <w:szCs w:val="28"/>
          <w:lang w:val="en-US" w:eastAsia="zh-CN"/>
        </w:rPr>
        <w:t>全面</w:t>
      </w:r>
      <w:r>
        <w:rPr>
          <w:rFonts w:hint="eastAsia" w:ascii="仿宋_GB2312" w:hAnsi="仿宋_GB2312" w:eastAsia="仿宋_GB2312" w:cs="仿宋_GB2312"/>
          <w:b w:val="0"/>
          <w:bCs/>
          <w:color w:val="auto"/>
          <w:sz w:val="28"/>
          <w:szCs w:val="28"/>
        </w:rPr>
        <w:t>修订人才培养方案，</w:t>
      </w:r>
      <w:r>
        <w:rPr>
          <w:rFonts w:hint="eastAsia" w:ascii="仿宋_GB2312" w:hAnsi="仿宋_GB2312" w:eastAsia="仿宋_GB2312" w:cs="仿宋_GB2312"/>
          <w:sz w:val="28"/>
          <w:szCs w:val="28"/>
          <w:lang w:val="en-US" w:eastAsia="zh-CN"/>
        </w:rPr>
        <w:t>主动适应国家发展战略和数字经济时代对人才培养的新要求，充分发挥办学优势，把增强学生能力作为制定人才培养方案的出发点，不断优化课程结构，科学凝练学科基础课和专业核心课程，突出创新和实践，持续加强学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创新能力和职业素质的培养，以及专业知识的传授，</w:t>
      </w:r>
      <w:r>
        <w:rPr>
          <w:rFonts w:hint="eastAsia" w:ascii="仿宋_GB2312" w:hAnsi="仿宋_GB2312" w:eastAsia="仿宋_GB2312" w:cs="仿宋_GB2312"/>
          <w:sz w:val="28"/>
          <w:szCs w:val="28"/>
          <w:lang w:val="en-US" w:eastAsia="zh-CN"/>
        </w:rPr>
        <w:t>不断推动学校人才培养、教育教学更加契合国家建设发展的新要求，致力培养具有扎实的经济学理论和数据科学基础的高质量财经人才。</w:t>
      </w:r>
    </w:p>
    <w:p>
      <w:pPr>
        <w:keepNext w:val="0"/>
        <w:keepLines w:val="0"/>
        <w:pageBreakBefore w:val="0"/>
        <w:kinsoku/>
        <w:wordWrap/>
        <w:overflowPunct/>
        <w:topLinePunct w:val="0"/>
        <w:autoSpaceDE/>
        <w:autoSpaceDN/>
        <w:bidi w:val="0"/>
        <w:adjustRightInd/>
        <w:snapToGrid/>
        <w:spacing w:line="360" w:lineRule="auto"/>
        <w:textAlignment w:val="auto"/>
        <w:outlineLvl w:val="2"/>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pPr>
      <w:bookmarkStart w:id="154" w:name="_Toc9548"/>
      <w:bookmarkStart w:id="155" w:name="_Toc12200"/>
      <w:bookmarkStart w:id="156" w:name="_Toc23018"/>
      <w:bookmarkStart w:id="157" w:name="_Toc6508"/>
      <w:r>
        <w:rPr>
          <w:rFonts w:hint="eastAsia" w:ascii="仿宋_GB2312" w:hAnsi="仿宋_GB2312" w:eastAsia="仿宋_GB2312" w:cs="仿宋_GB2312"/>
          <w:b/>
          <w:bCs/>
          <w:sz w:val="28"/>
          <w:szCs w:val="28"/>
          <w:lang w:val="en-US" w:eastAsia="zh-CN"/>
          <w14:textFill>
            <w14:gradFill>
              <w14:gsLst>
                <w14:gs w14:pos="0">
                  <w14:srgbClr w14:val="007BD3"/>
                </w14:gs>
                <w14:gs w14:pos="100000">
                  <w14:srgbClr w14:val="034373"/>
                </w14:gs>
              </w14:gsLst>
              <w14:lin w14:scaled="0"/>
            </w14:gradFill>
          </w14:textFill>
        </w:rPr>
        <w:t>4.3.2 着力加强就业创业指导服务内涵发展</w:t>
      </w:r>
      <w:bookmarkEnd w:id="154"/>
      <w:bookmarkEnd w:id="155"/>
      <w:bookmarkEnd w:id="156"/>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是全力打造校院两级协同发力的校内就业创业工作队伍，加强培育专业化、专家化人才队伍，优化辅导员就业指导团队，系统性提升队伍业务工作的规范化水平。二是科学、适时地调整就业创业指导体系，在全过程、全链条、全视角基础上，向全面提升学生职业能力内涵发展。进一步推进就业创业指导的个性化、精细化、精准化， 在细分领域、专项提升方面精耕细作，全面满足不同群体学生个性化需求。</w:t>
      </w:r>
    </w:p>
    <w:p>
      <w:pPr>
        <w:pStyle w:val="94"/>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2"/>
        <w:rPr>
          <w:rFonts w:hint="eastAsia" w:ascii="仿宋_GB2312" w:hAnsi="仿宋_GB2312" w:eastAsia="仿宋_GB2312" w:cs="仿宋_GB2312"/>
          <w:b/>
          <w:bCs w:val="0"/>
          <w:color w:val="00B0F0"/>
          <w:sz w:val="28"/>
          <w:szCs w:val="28"/>
          <w:lang w:val="en-US" w:eastAsia="zh-CN"/>
          <w14:textFill>
            <w14:gradFill>
              <w14:gsLst>
                <w14:gs w14:pos="0">
                  <w14:srgbClr w14:val="007BD3"/>
                </w14:gs>
                <w14:gs w14:pos="100000">
                  <w14:srgbClr w14:val="034373"/>
                </w14:gs>
              </w14:gsLst>
              <w14:lin w14:scaled="0"/>
            </w14:gradFill>
          </w14:textFill>
        </w:rPr>
      </w:pPr>
      <w:bookmarkStart w:id="158" w:name="_Toc13117"/>
      <w:bookmarkStart w:id="159" w:name="_Toc6040"/>
      <w:bookmarkStart w:id="160" w:name="_Toc1931"/>
      <w:r>
        <w:rPr>
          <w:rFonts w:hint="eastAsia" w:ascii="仿宋_GB2312" w:hAnsi="仿宋_GB2312" w:eastAsia="仿宋_GB2312" w:cs="仿宋_GB2312"/>
          <w:b/>
          <w:bCs w:val="0"/>
          <w:color w:val="00B0F0"/>
          <w:sz w:val="28"/>
          <w:szCs w:val="28"/>
          <w:lang w:val="en-US" w:eastAsia="zh-CN"/>
          <w14:textFill>
            <w14:gradFill>
              <w14:gsLst>
                <w14:gs w14:pos="0">
                  <w14:srgbClr w14:val="007BD3"/>
                </w14:gs>
                <w14:gs w14:pos="100000">
                  <w14:srgbClr w14:val="034373"/>
                </w14:gs>
              </w14:gsLst>
              <w14:lin w14:scaled="0"/>
            </w14:gradFill>
          </w14:textFill>
        </w:rPr>
        <w:t>4.3.3 持续</w:t>
      </w:r>
      <w:r>
        <w:rPr>
          <w:rFonts w:hint="eastAsia" w:ascii="仿宋_GB2312" w:hAnsi="仿宋_GB2312" w:eastAsia="仿宋_GB2312" w:cs="仿宋_GB2312"/>
          <w:b/>
          <w:bCs w:val="0"/>
          <w:color w:val="00B0F0"/>
          <w:sz w:val="28"/>
          <w:szCs w:val="28"/>
          <w:lang w:eastAsia="zh-CN"/>
          <w14:textFill>
            <w14:gradFill>
              <w14:gsLst>
                <w14:gs w14:pos="0">
                  <w14:srgbClr w14:val="007BD3"/>
                </w14:gs>
                <w14:gs w14:pos="100000">
                  <w14:srgbClr w14:val="034373"/>
                </w14:gs>
              </w14:gsLst>
              <w14:lin w14:scaled="0"/>
            </w14:gradFill>
          </w14:textFill>
        </w:rPr>
        <w:t>推进</w:t>
      </w:r>
      <w:r>
        <w:rPr>
          <w:rFonts w:hint="eastAsia" w:ascii="仿宋_GB2312" w:hAnsi="仿宋_GB2312" w:eastAsia="仿宋_GB2312" w:cs="仿宋_GB2312"/>
          <w:b/>
          <w:bCs w:val="0"/>
          <w:color w:val="00B0F0"/>
          <w:sz w:val="28"/>
          <w:szCs w:val="28"/>
          <w:lang w:val="en-US" w:eastAsia="zh-CN"/>
          <w14:textFill>
            <w14:gradFill>
              <w14:gsLst>
                <w14:gs w14:pos="0">
                  <w14:srgbClr w14:val="007BD3"/>
                </w14:gs>
                <w14:gs w14:pos="100000">
                  <w14:srgbClr w14:val="034373"/>
                </w14:gs>
              </w14:gsLst>
              <w14:lin w14:scaled="0"/>
            </w14:gradFill>
          </w14:textFill>
        </w:rPr>
        <w:t>创新创业教育与专业教育深度融合</w:t>
      </w:r>
      <w:bookmarkEnd w:id="158"/>
      <w:bookmarkEnd w:id="159"/>
      <w:bookmarkEnd w:id="160"/>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eastAsia"/>
        </w:rPr>
      </w:pPr>
      <w:r>
        <w:rPr>
          <w:rFonts w:hint="eastAsia" w:ascii="仿宋_GB2312" w:hAnsi="仿宋_GB2312" w:eastAsia="仿宋_GB2312" w:cs="仿宋_GB2312"/>
          <w:color w:val="000000"/>
          <w:sz w:val="28"/>
          <w:szCs w:val="28"/>
          <w:lang w:val="en-US" w:eastAsia="zh-CN"/>
        </w:rPr>
        <w:t>学校将重点抓好课程、竞赛、实践平台、孵化项目等建设，扎实推动课赛践研一体化的双创教育改革、智慧教室环境改造和“探究式-小班化”课程教学改革，以双创基地、平台为抓手，把创新创业教育作为推进教育教学综合改革的着力点和突破口，修订人才培养方案，优化专业课程内容体系，</w:t>
      </w:r>
      <w:r>
        <w:rPr>
          <w:rFonts w:hint="eastAsia" w:ascii="仿宋_GB2312" w:hAnsi="仿宋_GB2312" w:eastAsia="仿宋_GB2312" w:cs="仿宋_GB2312"/>
          <w:sz w:val="28"/>
          <w:szCs w:val="28"/>
        </w:rPr>
        <w:t>积极开展“第二课堂”教学建设，</w:t>
      </w:r>
      <w:r>
        <w:rPr>
          <w:rFonts w:hint="eastAsia" w:ascii="仿宋_GB2312" w:hAnsi="仿宋_GB2312" w:eastAsia="仿宋_GB2312" w:cs="仿宋_GB2312"/>
          <w:color w:val="000000"/>
          <w:sz w:val="28"/>
          <w:szCs w:val="28"/>
          <w:lang w:val="en-US" w:eastAsia="zh-CN"/>
        </w:rPr>
        <w:t>将创新创业教育贯穿人才培养全过程、全课程，努力培养学生创新意识和创新思维。</w:t>
      </w:r>
    </w:p>
    <w:bookmarkEnd w:id="157"/>
    <w:p>
      <w:pPr>
        <w:pStyle w:val="3"/>
        <w:jc w:val="center"/>
        <w:outlineLvl w:val="0"/>
        <w:rPr>
          <w:rFonts w:hint="default" w:ascii="黑体" w:hAnsi="黑体" w:eastAsia="黑体"/>
          <w:color w:val="00B0F0"/>
          <w:kern w:val="0"/>
          <w:sz w:val="30"/>
          <w:szCs w:val="30"/>
          <w:lang w:val="en-US" w:eastAsia="zh-CN"/>
          <w14:textFill>
            <w14:gradFill>
              <w14:gsLst>
                <w14:gs w14:pos="0">
                  <w14:srgbClr w14:val="007BD3"/>
                </w14:gs>
                <w14:gs w14:pos="100000">
                  <w14:srgbClr w14:val="034373"/>
                </w14:gs>
              </w14:gsLst>
              <w14:lin w14:scaled="0"/>
            </w14:gradFill>
          </w14:textFill>
        </w:rPr>
      </w:pPr>
      <w:bookmarkStart w:id="161" w:name="_Toc21104"/>
      <w:bookmarkStart w:id="162" w:name="_Toc24025"/>
      <w:bookmarkStart w:id="163" w:name="_Toc12581"/>
      <w:r>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t>第五部分  就业创业工作的主要措施及特点</w:t>
      </w:r>
      <w:bookmarkEnd w:id="150"/>
      <w:bookmarkEnd w:id="161"/>
      <w:bookmarkEnd w:id="162"/>
      <w:bookmarkEnd w:id="163"/>
      <w:bookmarkStart w:id="164" w:name="_Toc5311"/>
      <w:bookmarkStart w:id="165" w:name="_Toc4722"/>
    </w:p>
    <w:bookmarkEnd w:id="164"/>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66" w:name="_Toc10740"/>
      <w:bookmarkStart w:id="167" w:name="_Toc26709"/>
      <w:bookmarkStart w:id="168" w:name="_Toc4685"/>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5.1 加强领导</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，明确责任，进一步完善就业创业工作体系</w:t>
      </w:r>
      <w:bookmarkEnd w:id="166"/>
      <w:bookmarkEnd w:id="167"/>
      <w:bookmarkEnd w:id="16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学校高度重视就业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工作，认真落实“一把手工程”，</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在</w:t>
      </w:r>
      <w:r>
        <w:rPr>
          <w:rFonts w:hint="eastAsia" w:ascii="仿宋_GB2312" w:hAnsi="仿宋_GB2312" w:eastAsia="仿宋_GB2312" w:cs="仿宋_GB2312"/>
          <w:b w:val="0"/>
          <w:bCs w:val="0"/>
          <w:color w:val="000000" w:themeColor="text1"/>
          <w:sz w:val="28"/>
          <w:szCs w:val="28"/>
          <w14:textFill>
            <w14:solidFill>
              <w14:schemeClr w14:val="tx1"/>
            </w14:solidFill>
          </w14:textFill>
        </w:rPr>
        <w:t>明确工作目标的基础上，把提高学生就业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能力、就业质量</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创业指导</w:t>
      </w:r>
      <w:r>
        <w:rPr>
          <w:rFonts w:hint="eastAsia" w:ascii="仿宋_GB2312" w:hAnsi="仿宋_GB2312" w:eastAsia="仿宋_GB2312" w:cs="仿宋_GB2312"/>
          <w:b w:val="0"/>
          <w:bCs w:val="0"/>
          <w:color w:val="000000" w:themeColor="text1"/>
          <w:sz w:val="28"/>
          <w:szCs w:val="28"/>
          <w14:textFill>
            <w14:solidFill>
              <w14:schemeClr w14:val="tx1"/>
            </w14:solidFill>
          </w14:textFill>
        </w:rPr>
        <w:t>服务</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和增强就业创业意识</w:t>
      </w:r>
      <w:r>
        <w:rPr>
          <w:rFonts w:hint="eastAsia" w:ascii="仿宋_GB2312" w:hAnsi="仿宋_GB2312" w:eastAsia="仿宋_GB2312" w:cs="仿宋_GB2312"/>
          <w:b w:val="0"/>
          <w:bCs w:val="0"/>
          <w:color w:val="000000" w:themeColor="text1"/>
          <w:sz w:val="28"/>
          <w:szCs w:val="28"/>
          <w14:textFill>
            <w14:solidFill>
              <w14:schemeClr w14:val="tx1"/>
            </w14:solidFill>
          </w14:textFill>
        </w:rPr>
        <w:t>作为学校的核心工作来抓，</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一</w:t>
      </w:r>
      <w:r>
        <w:rPr>
          <w:rFonts w:hint="eastAsia" w:ascii="仿宋_GB2312" w:hAnsi="仿宋_GB2312" w:eastAsia="仿宋_GB2312" w:cs="仿宋_GB2312"/>
          <w:b w:val="0"/>
          <w:bCs w:val="0"/>
          <w:color w:val="000000" w:themeColor="text1"/>
          <w:sz w:val="28"/>
          <w:szCs w:val="28"/>
          <w14:textFill>
            <w14:solidFill>
              <w14:schemeClr w14:val="tx1"/>
            </w14:solidFill>
          </w14:textFill>
        </w:rPr>
        <w:t>年来，学校</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组织召开</w:t>
      </w:r>
      <w:r>
        <w:rPr>
          <w:rFonts w:hint="eastAsia" w:ascii="仿宋_GB2312" w:hAnsi="仿宋_GB2312" w:eastAsia="仿宋_GB2312" w:cs="仿宋_GB2312"/>
          <w:b w:val="0"/>
          <w:bCs w:val="0"/>
          <w:color w:val="000000" w:themeColor="text1"/>
          <w:sz w:val="28"/>
          <w:szCs w:val="28"/>
          <w14:textFill>
            <w14:solidFill>
              <w14:schemeClr w14:val="tx1"/>
            </w14:solidFill>
          </w14:textFill>
        </w:rPr>
        <w:t>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专题</w:t>
      </w:r>
      <w:r>
        <w:rPr>
          <w:rFonts w:hint="eastAsia" w:ascii="仿宋_GB2312" w:hAnsi="仿宋_GB2312" w:eastAsia="仿宋_GB2312" w:cs="仿宋_GB2312"/>
          <w:b w:val="0"/>
          <w:bCs w:val="0"/>
          <w:color w:val="000000" w:themeColor="text1"/>
          <w:sz w:val="28"/>
          <w:szCs w:val="28"/>
          <w14:textFill>
            <w14:solidFill>
              <w14:schemeClr w14:val="tx1"/>
            </w14:solidFill>
          </w14:textFill>
        </w:rPr>
        <w:t>研</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讨</w:t>
      </w:r>
      <w:r>
        <w:rPr>
          <w:rFonts w:hint="eastAsia" w:ascii="仿宋_GB2312" w:hAnsi="仿宋_GB2312" w:eastAsia="仿宋_GB2312" w:cs="仿宋_GB2312"/>
          <w:b w:val="0"/>
          <w:bCs w:val="0"/>
          <w:color w:val="000000" w:themeColor="text1"/>
          <w:sz w:val="28"/>
          <w:szCs w:val="28"/>
          <w14:textFill>
            <w14:solidFill>
              <w14:schemeClr w14:val="tx1"/>
            </w14:solidFill>
          </w14:textFill>
        </w:rPr>
        <w:t>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sz w:val="28"/>
          <w:szCs w:val="28"/>
          <w14:textFill>
            <w14:solidFill>
              <w14:schemeClr w14:val="tx1"/>
            </w14:solidFill>
          </w14:textFill>
        </w:rPr>
        <w:t>次。学校、部门</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和各二级</w:t>
      </w:r>
      <w:r>
        <w:rPr>
          <w:rFonts w:hint="eastAsia" w:ascii="仿宋_GB2312" w:hAnsi="仿宋_GB2312" w:eastAsia="仿宋_GB2312" w:cs="仿宋_GB2312"/>
          <w:b w:val="0"/>
          <w:bCs w:val="0"/>
          <w:color w:val="000000" w:themeColor="text1"/>
          <w:sz w:val="28"/>
          <w:szCs w:val="28"/>
          <w14:textFill>
            <w14:solidFill>
              <w14:schemeClr w14:val="tx1"/>
            </w14:solidFill>
          </w14:textFill>
        </w:rPr>
        <w:t>学院一把手作为第一责任人，切实加强对毕业生就业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工作的领导，落实主体责任，认真细化就业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工作举措，统筹推进毕业生就业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工作；学校成立了以书记、校长为组长、分管就业工作的副校长和分管教学工作的副校长为副组长、有关部门负责人为成员的就业工作领导小组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深化创新创业教育改革工作领导小组</w:t>
      </w:r>
      <w:r>
        <w:rPr>
          <w:rFonts w:hint="eastAsia" w:ascii="仿宋_GB2312" w:hAnsi="仿宋_GB2312" w:eastAsia="仿宋_GB2312" w:cs="仿宋_GB2312"/>
          <w:b w:val="0"/>
          <w:bCs w:val="0"/>
          <w:color w:val="000000" w:themeColor="text1"/>
          <w:sz w:val="28"/>
          <w:szCs w:val="28"/>
          <w14:textFill>
            <w14:solidFill>
              <w14:schemeClr w14:val="tx1"/>
            </w14:solidFill>
          </w14:textFill>
        </w:rPr>
        <w:t>；各二级学院成立了以院长和党总支书记为组长的院级毕业生就业工作领导小组，此外，</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还成立了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大学生就业指导服务中心和创新创业学院</w:t>
      </w:r>
      <w:r>
        <w:rPr>
          <w:rFonts w:hint="eastAsia" w:ascii="仿宋_GB2312" w:hAnsi="仿宋_GB2312" w:eastAsia="仿宋_GB2312" w:cs="仿宋_GB2312"/>
          <w:b w:val="0"/>
          <w:bCs w:val="0"/>
          <w:color w:val="000000" w:themeColor="text1"/>
          <w:sz w:val="28"/>
          <w:szCs w:val="28"/>
          <w14:textFill>
            <w14:solidFill>
              <w14:schemeClr w14:val="tx1"/>
            </w14:solidFill>
          </w14:textFill>
        </w:rPr>
        <w:t>，专门负责全校的就业指导、就业服务、就业管理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就业反馈</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深化创新创业教育改革</w:t>
      </w:r>
      <w:r>
        <w:rPr>
          <w:rFonts w:hint="eastAsia" w:ascii="仿宋_GB2312" w:hAnsi="仿宋_GB2312" w:eastAsia="仿宋_GB2312" w:cs="仿宋_GB2312"/>
          <w:b w:val="0"/>
          <w:bCs w:val="0"/>
          <w:color w:val="000000" w:themeColor="text1"/>
          <w:sz w:val="28"/>
          <w:szCs w:val="28"/>
          <w14:textFill>
            <w14:solidFill>
              <w14:schemeClr w14:val="tx1"/>
            </w14:solidFill>
          </w14:textFill>
        </w:rPr>
        <w:t>等日常工作，形成了各级重视、层层负责、齐抓共管、全员参与的毕业生就业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工作良好运行机制。</w:t>
      </w:r>
    </w:p>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69" w:name="_Toc4993"/>
      <w:bookmarkStart w:id="170" w:name="_Toc3949"/>
      <w:bookmarkStart w:id="171" w:name="_Toc4102"/>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5.2 精细引导</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，强化意识，切实帮助毕业生树立正确就业观</w:t>
      </w:r>
      <w:bookmarkEnd w:id="169"/>
      <w:bookmarkEnd w:id="170"/>
      <w:bookmarkEnd w:id="17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一是加大</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毕业生面向基层</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各类计划和项目就业的宣传引导</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力度</w:t>
      </w:r>
      <w:r>
        <w:rPr>
          <w:rFonts w:hint="eastAsia" w:ascii="仿宋_GB2312" w:hAnsi="仿宋_GB2312" w:eastAsia="仿宋_GB2312" w:cs="仿宋_GB2312"/>
          <w:b w:val="0"/>
          <w:bCs w:val="0"/>
          <w:color w:val="000000" w:themeColor="text1"/>
          <w:sz w:val="28"/>
          <w:szCs w:val="28"/>
          <w14:textFill>
            <w14:solidFill>
              <w14:schemeClr w14:val="tx1"/>
            </w14:solidFill>
          </w14:textFill>
        </w:rPr>
        <w:t>。通过举行校、院、班三级就业会议形式，由上而下层层传递就业各类计划和项目的有关政策信息，引导毕业生调整就业预期目标和就业观念，主动投身到祖国最需要的地方去建功立业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；二是大学生就业指导服务中心</w:t>
      </w:r>
      <w:r>
        <w:rPr>
          <w:rFonts w:hint="eastAsia" w:ascii="仿宋_GB2312" w:hAnsi="仿宋_GB2312" w:eastAsia="仿宋_GB2312" w:cs="仿宋_GB2312"/>
          <w:b w:val="0"/>
          <w:bCs w:val="0"/>
          <w:color w:val="000000" w:themeColor="text1"/>
          <w:sz w:val="28"/>
          <w:szCs w:val="28"/>
          <w14:textFill>
            <w14:solidFill>
              <w14:schemeClr w14:val="tx1"/>
            </w14:solidFill>
          </w14:textFill>
        </w:rPr>
        <w:t>与各二级学院联动，开辟就业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指导宣传专栏，举办多场就业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指导讲座、专题报告会、座谈会和优秀毕业生经验交流会，开展了模拟招聘、职业规划大赛、就业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沙龙、考研和考公务员辅导等一系列活动</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为学生充分掌握就业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创业</w:t>
      </w:r>
      <w:r>
        <w:rPr>
          <w:rFonts w:hint="eastAsia" w:ascii="仿宋_GB2312" w:hAnsi="仿宋_GB2312" w:eastAsia="仿宋_GB2312" w:cs="仿宋_GB2312"/>
          <w:b w:val="0"/>
          <w:bCs w:val="0"/>
          <w:color w:val="000000" w:themeColor="text1"/>
          <w:sz w:val="28"/>
          <w:szCs w:val="28"/>
          <w14:textFill>
            <w14:solidFill>
              <w14:schemeClr w14:val="tx1"/>
            </w14:solidFill>
          </w14:textFill>
        </w:rPr>
        <w:t>技巧，增强就业竞争力起到了积极作用。2021年</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10月</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，我们</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邀请省内</w:t>
      </w:r>
      <w:r>
        <w:rPr>
          <w:rFonts w:hint="eastAsia" w:ascii="仿宋_GB2312" w:hAnsi="仿宋_GB2312" w:eastAsia="仿宋_GB2312" w:cs="仿宋_GB2312"/>
          <w:b w:val="0"/>
          <w:bCs w:val="0"/>
          <w:color w:val="000000" w:themeColor="text1"/>
          <w:sz w:val="28"/>
          <w:szCs w:val="28"/>
          <w14:textFill>
            <w14:solidFill>
              <w14:schemeClr w14:val="tx1"/>
            </w14:solidFill>
          </w14:textFill>
        </w:rPr>
        <w:t>湖南师范大学、湘潭大学、长沙理工大学</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等</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11所高校研招办主任来校，给学生提供研究生考试报考、择校和复习等方面的面对面咨询活动，现场咨询学生达400多人，入群咨询学生达900多人。</w:t>
      </w:r>
      <w:r>
        <w:rPr>
          <w:rFonts w:hint="eastAsia" w:ascii="仿宋_GB2312" w:hAnsi="仿宋_GB2312" w:eastAsia="仿宋_GB2312" w:cs="仿宋_GB2312"/>
          <w:b w:val="0"/>
          <w:bCs w:val="0"/>
          <w:color w:val="000000" w:themeColor="text1"/>
          <w:sz w:val="28"/>
          <w:szCs w:val="28"/>
          <w14:textFill>
            <w14:solidFill>
              <w14:schemeClr w14:val="tx1"/>
            </w14:solidFill>
          </w14:textFill>
        </w:rPr>
        <w:t>为竭力帮助学生实现“公职”梦想，</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大学生就业指导服务中心</w:t>
      </w:r>
      <w:r>
        <w:rPr>
          <w:rFonts w:hint="eastAsia" w:ascii="仿宋_GB2312" w:hAnsi="仿宋_GB2312" w:eastAsia="仿宋_GB2312" w:cs="仿宋_GB2312"/>
          <w:b w:val="0"/>
          <w:bCs w:val="0"/>
          <w:color w:val="000000" w:themeColor="text1"/>
          <w:sz w:val="28"/>
          <w:szCs w:val="28"/>
          <w14:textFill>
            <w14:solidFill>
              <w14:schemeClr w14:val="tx1"/>
            </w14:solidFill>
          </w14:textFill>
        </w:rPr>
        <w:t>开展公务员录用考试</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免费</w:t>
      </w:r>
      <w:r>
        <w:rPr>
          <w:rFonts w:hint="eastAsia" w:ascii="仿宋_GB2312" w:hAnsi="仿宋_GB2312" w:eastAsia="仿宋_GB2312" w:cs="仿宋_GB2312"/>
          <w:b w:val="0"/>
          <w:bCs w:val="0"/>
          <w:color w:val="000000" w:themeColor="text1"/>
          <w:sz w:val="28"/>
          <w:szCs w:val="28"/>
          <w14:textFill>
            <w14:solidFill>
              <w14:schemeClr w14:val="tx1"/>
            </w14:solidFill>
          </w14:textFill>
        </w:rPr>
        <w:t>培训“公益生”计划</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，共</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200多人报名，遴选出34名毕业生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免费参加</w:t>
      </w:r>
      <w:r>
        <w:rPr>
          <w:rFonts w:hint="eastAsia" w:ascii="仿宋_GB2312" w:hAnsi="仿宋_GB2312" w:eastAsia="仿宋_GB2312" w:cs="仿宋_GB2312"/>
          <w:b w:val="0"/>
          <w:bCs w:val="0"/>
          <w:color w:val="000000" w:themeColor="text1"/>
          <w:sz w:val="28"/>
          <w:szCs w:val="28"/>
          <w14:textFill>
            <w14:solidFill>
              <w14:schemeClr w14:val="tx1"/>
            </w14:solidFill>
          </w14:textFill>
        </w:rPr>
        <w:t>培训</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，取到良好效果。</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2021年</w:t>
      </w:r>
      <w:r>
        <w:rPr>
          <w:rFonts w:hint="eastAsia" w:ascii="仿宋_GB2312" w:hAnsi="仿宋_GB2312" w:eastAsia="仿宋_GB2312" w:cs="仿宋_GB2312"/>
          <w:b w:val="0"/>
          <w:bCs w:val="0"/>
          <w:color w:val="000000" w:themeColor="text1"/>
          <w:sz w:val="28"/>
          <w:szCs w:val="28"/>
          <w14:textFill>
            <w14:solidFill>
              <w14:schemeClr w14:val="tx1"/>
            </w14:solidFill>
          </w14:textFill>
        </w:rPr>
        <w:t>开学初，毕业生整体</w: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28"/>
          <w:szCs w:val="28"/>
          <w14:textFill>
            <w14:solidFill>
              <w14:schemeClr w14:val="tx1"/>
            </w14:solidFill>
          </w14:textFill>
        </w:rPr>
        <w:instrText xml:space="preserve"> HYPERLINK "http://qiuzhixin.unjs.com/" </w:instrTex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separate"/>
      </w:r>
      <w:r>
        <w:rPr>
          <w:rFonts w:hint="eastAsia" w:ascii="仿宋_GB2312" w:hAnsi="仿宋_GB2312" w:eastAsia="仿宋_GB2312" w:cs="仿宋_GB2312"/>
          <w:b w:val="0"/>
          <w:bCs w:val="0"/>
          <w:color w:val="000000" w:themeColor="text1"/>
          <w:sz w:val="28"/>
          <w:szCs w:val="28"/>
          <w14:textFill>
            <w14:solidFill>
              <w14:schemeClr w14:val="tx1"/>
            </w14:solidFill>
          </w14:textFill>
        </w:rPr>
        <w:t>求职</w:t>
      </w:r>
      <w:r>
        <w:rPr>
          <w:rFonts w:hint="eastAsia" w:ascii="仿宋_GB2312" w:hAnsi="仿宋_GB2312" w:eastAsia="仿宋_GB2312" w:cs="仿宋_GB2312"/>
          <w:b w:val="0"/>
          <w:bCs w:val="0"/>
          <w:color w:val="000000" w:themeColor="text1"/>
          <w:sz w:val="28"/>
          <w:szCs w:val="28"/>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28"/>
          <w:szCs w:val="28"/>
          <w14:textFill>
            <w14:solidFill>
              <w14:schemeClr w14:val="tx1"/>
            </w14:solidFill>
          </w14:textFill>
        </w:rPr>
        <w:t>意愿不强，参加校园招聘会积极性不高。针对此情况，</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28"/>
          <w:szCs w:val="28"/>
          <w14:textFill>
            <w14:solidFill>
              <w14:schemeClr w14:val="tx1"/>
            </w14:solidFill>
          </w14:textFill>
        </w:rPr>
        <w:t>月份，</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大学生就业指导服务中心携同各二级学院</w:t>
      </w:r>
      <w:r>
        <w:rPr>
          <w:rFonts w:hint="eastAsia" w:ascii="仿宋_GB2312" w:hAnsi="仿宋_GB2312" w:eastAsia="仿宋_GB2312" w:cs="仿宋_GB2312"/>
          <w:b w:val="0"/>
          <w:bCs w:val="0"/>
          <w:color w:val="000000" w:themeColor="text1"/>
          <w:sz w:val="28"/>
          <w:szCs w:val="28"/>
          <w14:textFill>
            <w14:solidFill>
              <w14:schemeClr w14:val="tx1"/>
            </w14:solidFill>
          </w14:textFill>
        </w:rPr>
        <w:t>对20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届未就业毕业生进行调</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研</w:t>
      </w:r>
      <w:r>
        <w:rPr>
          <w:rFonts w:hint="eastAsia" w:ascii="仿宋_GB2312" w:hAnsi="仿宋_GB2312" w:eastAsia="仿宋_GB2312" w:cs="仿宋_GB2312"/>
          <w:b w:val="0"/>
          <w:bCs w:val="0"/>
          <w:color w:val="000000" w:themeColor="text1"/>
          <w:sz w:val="28"/>
          <w:szCs w:val="28"/>
          <w14:textFill>
            <w14:solidFill>
              <w14:schemeClr w14:val="tx1"/>
            </w14:solidFill>
          </w14:textFill>
        </w:rPr>
        <w:t>，及时召开毕业生代表座谈会，撰写“20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届毕业生就业情况调查研究报告”，召开毕业生就业工作人员专题研讨会，拿出切实可行的工作方案，积极引导，</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切实</w:t>
      </w:r>
      <w:r>
        <w:rPr>
          <w:rFonts w:hint="eastAsia" w:ascii="仿宋_GB2312" w:hAnsi="仿宋_GB2312" w:eastAsia="仿宋_GB2312" w:cs="仿宋_GB2312"/>
          <w:b w:val="0"/>
          <w:bCs w:val="0"/>
          <w:color w:val="000000" w:themeColor="text1"/>
          <w:sz w:val="28"/>
          <w:szCs w:val="28"/>
          <w14:textFill>
            <w14:solidFill>
              <w14:schemeClr w14:val="tx1"/>
            </w14:solidFill>
          </w14:textFill>
        </w:rPr>
        <w:t>帮助毕业生树立正确的就业观、择业观。</w:t>
      </w:r>
    </w:p>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72" w:name="_Toc16909"/>
      <w:bookmarkStart w:id="173" w:name="_Toc27549"/>
      <w:bookmarkStart w:id="174" w:name="_Toc6208"/>
      <w:bookmarkStart w:id="175" w:name="_Toc8387"/>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5.3 </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多措并举，精心组织，努力把就业创业工作落到实处</w:t>
      </w:r>
      <w:bookmarkEnd w:id="172"/>
      <w:bookmarkEnd w:id="173"/>
      <w:bookmarkEnd w:id="174"/>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1.认真执行就业创业政策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一是</w:t>
      </w:r>
      <w:r>
        <w:rPr>
          <w:rFonts w:hint="eastAsia" w:ascii="仿宋_GB2312" w:hAnsi="仿宋_GB2312" w:eastAsia="仿宋_GB2312" w:cs="仿宋_GB2312"/>
          <w:b w:val="0"/>
          <w:bCs w:val="0"/>
          <w:color w:val="000000" w:themeColor="text1"/>
          <w:sz w:val="28"/>
          <w:szCs w:val="28"/>
          <w14:textFill>
            <w14:solidFill>
              <w14:schemeClr w14:val="tx1"/>
            </w14:solidFill>
          </w14:textFill>
        </w:rPr>
        <w:t>鼓励和支持毕业生到基层、西部、重点领域和国家最需要的地方去建功立业，教育和引导毕业生投身国家国防事业和到国际组织实习任职。20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年，截止8月31日，我校毕业生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到</w:t>
      </w:r>
      <w:r>
        <w:rPr>
          <w:rFonts w:hint="eastAsia" w:ascii="仿宋_GB2312" w:hAnsi="仿宋_GB2312" w:eastAsia="仿宋_GB2312" w:cs="仿宋_GB2312"/>
          <w:b w:val="0"/>
          <w:bCs w:val="0"/>
          <w:color w:val="000000" w:themeColor="text1"/>
          <w:sz w:val="28"/>
          <w:szCs w:val="28"/>
          <w14:textFill>
            <w14:solidFill>
              <w14:schemeClr w14:val="tx1"/>
            </w14:solidFill>
          </w14:textFill>
        </w:rPr>
        <w:t>国家与地方基层项目就业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31</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自主创业</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29</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82</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，学校整体毕业生</w:t>
      </w:r>
      <w:r>
        <w:rPr>
          <w:rFonts w:hint="eastAsia" w:ascii="仿宋_GB2312" w:hAnsi="仿宋_GB2312" w:eastAsia="仿宋_GB2312" w:cs="仿宋_GB2312"/>
          <w:b w:val="0"/>
          <w:bCs w:val="0"/>
          <w:color w:val="000000" w:themeColor="text1"/>
          <w:sz w:val="28"/>
          <w:szCs w:val="28"/>
          <w14:textFill>
            <w14:solidFill>
              <w14:schemeClr w14:val="tx1"/>
            </w14:solidFill>
          </w14:textFill>
        </w:rPr>
        <w:t>到基层、西部和国家最需要的地方就业创业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以及</w:t>
      </w:r>
      <w:r>
        <w:rPr>
          <w:rFonts w:hint="eastAsia" w:ascii="仿宋_GB2312" w:hAnsi="仿宋_GB2312" w:eastAsia="仿宋_GB2312" w:cs="仿宋_GB2312"/>
          <w:b w:val="0"/>
          <w:bCs w:val="0"/>
          <w:color w:val="000000" w:themeColor="text1"/>
          <w:sz w:val="28"/>
          <w:szCs w:val="28"/>
          <w14:textFill>
            <w14:solidFill>
              <w14:schemeClr w14:val="tx1"/>
            </w14:solidFill>
          </w14:textFill>
        </w:rPr>
        <w:t>应征入伍毕业生人数逐年增加。</w:t>
      </w:r>
      <w:bookmarkEnd w:id="175"/>
      <w:bookmarkStart w:id="176" w:name="_Toc16363"/>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二是就业指导服务中心</w:t>
      </w:r>
      <w:r>
        <w:rPr>
          <w:rFonts w:hint="eastAsia" w:ascii="仿宋_GB2312" w:hAnsi="仿宋_GB2312" w:eastAsia="仿宋_GB2312" w:cs="仿宋_GB2312"/>
          <w:b w:val="0"/>
          <w:bCs w:val="0"/>
          <w:color w:val="000000" w:themeColor="text1"/>
          <w:sz w:val="28"/>
          <w:szCs w:val="28"/>
          <w14:textFill>
            <w14:solidFill>
              <w14:schemeClr w14:val="tx1"/>
            </w14:solidFill>
          </w14:textFill>
        </w:rPr>
        <w:t>和各二级学院成立建档立卡贫困户家庭毕业生就业帮扶工作小组，明确分管负责人，对</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2021届</w:t>
      </w:r>
      <w:r>
        <w:rPr>
          <w:rFonts w:hint="eastAsia" w:ascii="仿宋_GB2312" w:hAnsi="仿宋_GB2312" w:eastAsia="仿宋_GB2312" w:cs="仿宋_GB2312"/>
          <w:b w:val="0"/>
          <w:bCs w:val="0"/>
          <w:color w:val="000000" w:themeColor="text1"/>
          <w:sz w:val="28"/>
          <w:szCs w:val="28"/>
          <w14:textFill>
            <w14:solidFill>
              <w14:schemeClr w14:val="tx1"/>
            </w14:solidFill>
          </w14:textFill>
        </w:rPr>
        <w:t>困难毕业生进行全面摸底排查，针对学校“建档立卡贫困生”建立就业档案，制定相应的就业帮扶措施。202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8"/>
          <w:szCs w:val="28"/>
          <w14:textFill>
            <w14:solidFill>
              <w14:schemeClr w14:val="tx1"/>
            </w14:solidFill>
          </w14:textFill>
        </w:rPr>
        <w:t>年</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学校共有</w:t>
      </w:r>
      <w:r>
        <w:rPr>
          <w:rFonts w:hint="eastAsia" w:ascii="仿宋_GB2312" w:hAnsi="仿宋_GB2312" w:eastAsia="仿宋_GB2312" w:cs="仿宋_GB2312"/>
          <w:b w:val="0"/>
          <w:bCs w:val="0"/>
          <w:color w:val="000000" w:themeColor="text1"/>
          <w:sz w:val="28"/>
          <w:szCs w:val="28"/>
          <w14:textFill>
            <w14:solidFill>
              <w14:schemeClr w14:val="tx1"/>
            </w14:solidFill>
          </w14:textFill>
        </w:rPr>
        <w:t>建档立卡贫困毕业生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181</w:t>
      </w:r>
      <w:r>
        <w:rPr>
          <w:rFonts w:hint="eastAsia" w:ascii="仿宋_GB2312" w:hAnsi="仿宋_GB2312" w:eastAsia="仿宋_GB2312" w:cs="仿宋_GB2312"/>
          <w:b w:val="0"/>
          <w:bCs w:val="0"/>
          <w:color w:val="000000" w:themeColor="text1"/>
          <w:sz w:val="28"/>
          <w:szCs w:val="28"/>
          <w14:textFill>
            <w14:solidFill>
              <w14:schemeClr w14:val="tx1"/>
            </w14:solidFill>
          </w14:textFill>
        </w:rPr>
        <w:t>人，占毕业生总数的</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 xml:space="preserve"> 5.12 </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截至202</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8"/>
          <w:szCs w:val="28"/>
          <w14:textFill>
            <w14:solidFill>
              <w14:schemeClr w14:val="tx1"/>
            </w14:solidFill>
          </w14:textFill>
        </w:rPr>
        <w:t>年8月31日，除个别毕业生考公务员或考研暂不就业的，其余已全部实现就业。</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2.精准提供信息服务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充分发挥就业网络服务功能，加快“互联网+就业”智慧平台建设，多渠道收集用人单位需求信息</w:t>
      </w:r>
      <w:bookmarkStart w:id="177" w:name="_Toc12668"/>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多渠道搭建校内外资源信息对接服务平台，进一步完善</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就业中心</w:t>
      </w:r>
      <w:r>
        <w:rPr>
          <w:rFonts w:hint="eastAsia" w:ascii="仿宋_GB2312" w:hAnsi="仿宋_GB2312" w:eastAsia="仿宋_GB2312" w:cs="仿宋_GB2312"/>
          <w:b w:val="0"/>
          <w:bCs w:val="0"/>
          <w:color w:val="000000" w:themeColor="text1"/>
          <w:sz w:val="28"/>
          <w:szCs w:val="28"/>
          <w14:textFill>
            <w14:solidFill>
              <w14:schemeClr w14:val="tx1"/>
            </w14:solidFill>
          </w14:textFill>
        </w:rPr>
        <w:t>和各二级学院就业创业管理服务系统，通过毕业生就业信息网、云就业平台和就业APP、微信、微博、短信平台等新媒体精准发布就业信息，全面实现毕业生就业创业信息化</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彻底消除信息孤岛。</w:t>
      </w:r>
      <w:bookmarkEnd w:id="177"/>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2021年</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我们</w:t>
      </w:r>
      <w:r>
        <w:rPr>
          <w:rFonts w:hint="eastAsia" w:ascii="仿宋_GB2312" w:hAnsi="仿宋_GB2312" w:eastAsia="仿宋_GB2312" w:cs="仿宋_GB2312"/>
          <w:b w:val="0"/>
          <w:bCs w:val="0"/>
          <w:color w:val="000000" w:themeColor="text1"/>
          <w:sz w:val="28"/>
          <w:szCs w:val="28"/>
          <w14:textFill>
            <w14:solidFill>
              <w14:schemeClr w14:val="tx1"/>
            </w14:solidFill>
          </w14:textFill>
        </w:rPr>
        <w:t>共发布单位有效需求信息</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28"/>
          <w:szCs w:val="28"/>
          <w14:textFill>
            <w14:solidFill>
              <w14:schemeClr w14:val="tx1"/>
            </w14:solidFill>
          </w14:textFill>
        </w:rPr>
        <w:t>00多条，及时回复毕业生网上就业咨询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700多</w:t>
      </w:r>
      <w:r>
        <w:rPr>
          <w:rFonts w:hint="eastAsia" w:ascii="仿宋_GB2312" w:hAnsi="仿宋_GB2312" w:eastAsia="仿宋_GB2312" w:cs="仿宋_GB2312"/>
          <w:b w:val="0"/>
          <w:bCs w:val="0"/>
          <w:color w:val="000000" w:themeColor="text1"/>
          <w:sz w:val="28"/>
          <w:szCs w:val="28"/>
          <w14:textFill>
            <w14:solidFill>
              <w14:schemeClr w14:val="tx1"/>
            </w14:solidFill>
          </w14:textFill>
        </w:rPr>
        <w:t>人次。今年7、8月份，</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我们</w:t>
      </w:r>
      <w:r>
        <w:rPr>
          <w:rFonts w:hint="eastAsia" w:ascii="仿宋_GB2312" w:hAnsi="仿宋_GB2312" w:eastAsia="仿宋_GB2312" w:cs="仿宋_GB2312"/>
          <w:b w:val="0"/>
          <w:bCs w:val="0"/>
          <w:color w:val="000000" w:themeColor="text1"/>
          <w:sz w:val="28"/>
          <w:szCs w:val="28"/>
          <w14:textFill>
            <w14:solidFill>
              <w14:schemeClr w14:val="tx1"/>
            </w14:solidFill>
          </w14:textFill>
        </w:rPr>
        <w:t>组织专人通过网络、电话、微信和QQ等方式</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对20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届离校未就业的毕业生进行跟踪回访</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了解他们的求职状况，及时统计</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离</w:t>
      </w:r>
      <w:r>
        <w:rPr>
          <w:rFonts w:hint="eastAsia" w:ascii="仿宋_GB2312" w:hAnsi="仿宋_GB2312" w:eastAsia="仿宋_GB2312" w:cs="仿宋_GB2312"/>
          <w:b w:val="0"/>
          <w:bCs w:val="0"/>
          <w:color w:val="000000" w:themeColor="text1"/>
          <w:sz w:val="28"/>
          <w:szCs w:val="28"/>
          <w14:textFill>
            <w14:solidFill>
              <w14:schemeClr w14:val="tx1"/>
            </w14:solidFill>
          </w14:textFill>
        </w:rPr>
        <w:t>校未就业毕业生的就业动态，持续向离校未就业毕业生推送用人信息和相关政策，</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切实</w:t>
      </w:r>
      <w:r>
        <w:rPr>
          <w:rFonts w:hint="eastAsia" w:ascii="仿宋_GB2312" w:hAnsi="仿宋_GB2312" w:eastAsia="仿宋_GB2312" w:cs="仿宋_GB2312"/>
          <w:b w:val="0"/>
          <w:bCs w:val="0"/>
          <w:color w:val="000000" w:themeColor="text1"/>
          <w:sz w:val="28"/>
          <w:szCs w:val="28"/>
          <w14:textFill>
            <w14:solidFill>
              <w14:schemeClr w14:val="tx1"/>
            </w14:solidFill>
          </w14:textFill>
        </w:rPr>
        <w:t>做到</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了</w:t>
      </w:r>
      <w:r>
        <w:rPr>
          <w:rFonts w:hint="eastAsia" w:ascii="仿宋_GB2312" w:hAnsi="仿宋_GB2312" w:eastAsia="仿宋_GB2312" w:cs="仿宋_GB2312"/>
          <w:b w:val="0"/>
          <w:bCs w:val="0"/>
          <w:color w:val="000000" w:themeColor="text1"/>
          <w:sz w:val="28"/>
          <w:szCs w:val="28"/>
          <w14:textFill>
            <w14:solidFill>
              <w14:schemeClr w14:val="tx1"/>
            </w14:solidFill>
          </w14:textFill>
        </w:rPr>
        <w:t>“离校不离心，服务不断线”。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3.落实落细就业创业指导与教育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一是学校开设了《大学生职业生涯与发展规划》、《大学生就业指导》两门</w:t>
      </w:r>
      <w:r>
        <w:rPr>
          <w:rFonts w:hint="eastAsia" w:ascii="仿宋_GB2312" w:hAnsi="仿宋_GB2312" w:eastAsia="仿宋_GB2312" w:cs="仿宋_GB2312"/>
          <w:b w:val="0"/>
          <w:bCs w:val="0"/>
          <w:color w:val="000000" w:themeColor="text1"/>
          <w:sz w:val="28"/>
          <w:szCs w:val="28"/>
          <w14:textFill>
            <w14:solidFill>
              <w14:schemeClr w14:val="tx1"/>
            </w14:solidFill>
          </w14:textFill>
        </w:rPr>
        <w:t>公共必修课</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共计40</w:t>
      </w:r>
      <w:r>
        <w:rPr>
          <w:rFonts w:hint="eastAsia" w:ascii="仿宋_GB2312" w:hAnsi="仿宋_GB2312" w:eastAsia="仿宋_GB2312" w:cs="仿宋_GB2312"/>
          <w:b w:val="0"/>
          <w:bCs w:val="0"/>
          <w:color w:val="000000" w:themeColor="text1"/>
          <w:sz w:val="28"/>
          <w:szCs w:val="28"/>
          <w14:textFill>
            <w14:solidFill>
              <w14:schemeClr w14:val="tx1"/>
            </w14:solidFill>
          </w14:textFill>
        </w:rPr>
        <w:t>个课时，2个学分</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职业生涯与发展规划课程建设通过了校课程思政建设立项和湖南省在线开放精品课程验收</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出版了《大学生职业生涯规划》、《大学生就业指导》自编教材</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结合各类专业特点制定教学大纲。</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同时，</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通过</w:t>
      </w:r>
      <w:r>
        <w:rPr>
          <w:rFonts w:hint="eastAsia" w:ascii="仿宋_GB2312" w:hAnsi="仿宋_GB2312" w:eastAsia="仿宋_GB2312" w:cs="仿宋_GB2312"/>
          <w:b w:val="0"/>
          <w:bCs w:val="0"/>
          <w:color w:val="000000" w:themeColor="text1"/>
          <w:sz w:val="28"/>
          <w:szCs w:val="28"/>
          <w14:textFill>
            <w14:solidFill>
              <w14:schemeClr w14:val="tx1"/>
            </w14:solidFill>
          </w14:textFill>
        </w:rPr>
        <w:t>开展“就业指导服务月”、“简历制作比赛”、“模拟面试”、“就业技能大赛”、“就业创业讲座”、“校友求职分享”</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28"/>
          <w:szCs w:val="28"/>
          <w14:textFill>
            <w14:solidFill>
              <w14:schemeClr w14:val="tx1"/>
            </w14:solidFill>
          </w14:textFill>
        </w:rPr>
        <w:t>“1+1师生结对推荐就业”等活动</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提高学生就业创业能力</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二是</w:t>
      </w:r>
      <w:r>
        <w:rPr>
          <w:rFonts w:hint="eastAsia" w:ascii="仿宋_GB2312" w:hAnsi="仿宋_GB2312" w:eastAsia="仿宋_GB2312" w:cs="仿宋_GB2312"/>
          <w:b w:val="0"/>
          <w:bCs w:val="0"/>
          <w:color w:val="000000" w:themeColor="text1"/>
          <w:sz w:val="28"/>
          <w:szCs w:val="28"/>
          <w14:textFill>
            <w14:solidFill>
              <w14:schemeClr w14:val="tx1"/>
            </w14:solidFill>
          </w14:textFill>
        </w:rPr>
        <w:t>学校在创新创业教育学院下设大学生创新创业指导教研室，编写了《创业基础》教材，《创业基础》课列为公共必修课，</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共32学时、2学分。</w:t>
      </w:r>
      <w:bookmarkEnd w:id="176"/>
      <w:bookmarkStart w:id="178" w:name="_Toc25168"/>
      <w:r>
        <w:rPr>
          <w:rFonts w:hint="eastAsia" w:ascii="仿宋_GB2312" w:hAnsi="仿宋_GB2312" w:eastAsia="仿宋_GB2312" w:cs="仿宋_GB2312"/>
          <w:b w:val="0"/>
          <w:bCs w:val="0"/>
          <w:color w:val="000000" w:themeColor="text1"/>
          <w:sz w:val="28"/>
          <w:szCs w:val="28"/>
          <w14:textFill>
            <w14:solidFill>
              <w14:schemeClr w14:val="tx1"/>
            </w14:solidFill>
          </w14:textFill>
        </w:rPr>
        <w:t>在人才培养方案中设置8个创新实践活动学分，每年对学生的创新创业活动进行认定，学生多余的创新实践学分可以替代选修课程</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学分。</w:t>
      </w:r>
      <w:r>
        <w:rPr>
          <w:rFonts w:hint="eastAsia" w:ascii="仿宋_GB2312" w:hAnsi="仿宋_GB2312" w:eastAsia="仿宋_GB2312" w:cs="仿宋_GB2312"/>
          <w:b w:val="0"/>
          <w:bCs w:val="0"/>
          <w:color w:val="000000" w:themeColor="text1"/>
          <w:sz w:val="28"/>
          <w:szCs w:val="28"/>
          <w14:textFill>
            <w14:solidFill>
              <w14:schemeClr w14:val="tx1"/>
            </w14:solidFill>
          </w14:textFill>
        </w:rPr>
        <w:t>对于参加创新创业沙龙、讲座等活动的最多可认定4个学分，参加创办公司等创业实践活动给予认定4个学分。</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4.做好招聘工作和就业服务</w:t>
      </w:r>
    </w:p>
    <w:bookmarkEnd w:id="178"/>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pPr>
      <w:bookmarkStart w:id="179" w:name="_Toc16186"/>
      <w:r>
        <w:rPr>
          <w:rFonts w:hint="eastAsia" w:ascii="仿宋_GB2312" w:hAnsi="仿宋_GB2312" w:eastAsia="仿宋_GB2312" w:cs="仿宋_GB2312"/>
          <w:b w:val="0"/>
          <w:bCs w:val="0"/>
          <w:color w:val="000000" w:themeColor="text1"/>
          <w:sz w:val="28"/>
          <w:szCs w:val="28"/>
          <w14:textFill>
            <w14:solidFill>
              <w14:schemeClr w14:val="tx1"/>
            </w14:solidFill>
          </w14:textFill>
        </w:rPr>
        <w:t>为扎实推进20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21届</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毕业生就业工作，</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大学生就业指导服务中心与各二级学院</w:t>
      </w:r>
      <w:r>
        <w:rPr>
          <w:rFonts w:hint="eastAsia" w:ascii="仿宋_GB2312" w:hAnsi="仿宋_GB2312" w:eastAsia="仿宋_GB2312" w:cs="仿宋_GB2312"/>
          <w:b w:val="0"/>
          <w:bCs w:val="0"/>
          <w:color w:val="000000" w:themeColor="text1"/>
          <w:sz w:val="28"/>
          <w:szCs w:val="28"/>
          <w14:textFill>
            <w14:solidFill>
              <w14:schemeClr w14:val="tx1"/>
            </w14:solidFill>
          </w14:textFill>
        </w:rPr>
        <w:t>制定了“早计划、早行动、早生效”的方针，积极邀请用人单位来校招聘。一年来，共接待用人单位</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28"/>
          <w:szCs w:val="28"/>
          <w14:textFill>
            <w14:solidFill>
              <w14:schemeClr w14:val="tx1"/>
            </w14:solidFill>
          </w14:textFill>
        </w:rPr>
        <w:t>00</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多</w:t>
      </w:r>
      <w:r>
        <w:rPr>
          <w:rFonts w:hint="eastAsia" w:ascii="仿宋_GB2312" w:hAnsi="仿宋_GB2312" w:eastAsia="仿宋_GB2312" w:cs="仿宋_GB2312"/>
          <w:b w:val="0"/>
          <w:bCs w:val="0"/>
          <w:color w:val="000000" w:themeColor="text1"/>
          <w:sz w:val="28"/>
          <w:szCs w:val="28"/>
          <w14:textFill>
            <w14:solidFill>
              <w14:schemeClr w14:val="tx1"/>
            </w14:solidFill>
          </w14:textFill>
        </w:rPr>
        <w:t>家，提供有效招聘岗位</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近</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8"/>
          <w:szCs w:val="28"/>
          <w14:textFill>
            <w14:solidFill>
              <w14:schemeClr w14:val="tx1"/>
            </w14:solidFill>
          </w14:textFill>
        </w:rPr>
        <w:t>0000个，</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组织</w:t>
      </w:r>
      <w:r>
        <w:rPr>
          <w:rFonts w:hint="eastAsia" w:ascii="仿宋_GB2312" w:hAnsi="仿宋_GB2312" w:eastAsia="仿宋_GB2312" w:cs="仿宋_GB2312"/>
          <w:b w:val="0"/>
          <w:bCs w:val="0"/>
          <w:color w:val="000000" w:themeColor="text1"/>
          <w:sz w:val="28"/>
          <w:szCs w:val="28"/>
          <w14:textFill>
            <w14:solidFill>
              <w14:schemeClr w14:val="tx1"/>
            </w14:solidFill>
          </w14:textFill>
        </w:rPr>
        <w:t>召开各类</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大</w:t>
      </w:r>
      <w:r>
        <w:rPr>
          <w:rFonts w:hint="eastAsia" w:ascii="仿宋_GB2312" w:hAnsi="仿宋_GB2312" w:eastAsia="仿宋_GB2312" w:cs="仿宋_GB2312"/>
          <w:b w:val="0"/>
          <w:bCs w:val="0"/>
          <w:color w:val="000000" w:themeColor="text1"/>
          <w:sz w:val="28"/>
          <w:szCs w:val="28"/>
          <w14:textFill>
            <w14:solidFill>
              <w14:schemeClr w14:val="tx1"/>
            </w14:solidFill>
          </w14:textFill>
        </w:rPr>
        <w:t>中小型</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和</w:t>
      </w:r>
      <w:r>
        <w:rPr>
          <w:rFonts w:hint="eastAsia" w:ascii="仿宋_GB2312" w:hAnsi="仿宋_GB2312" w:eastAsia="仿宋_GB2312" w:cs="仿宋_GB2312"/>
          <w:b w:val="0"/>
          <w:bCs w:val="0"/>
          <w:color w:val="000000" w:themeColor="text1"/>
          <w:sz w:val="28"/>
          <w:szCs w:val="28"/>
          <w14:textFill>
            <w14:solidFill>
              <w14:schemeClr w14:val="tx1"/>
            </w14:solidFill>
          </w14:textFill>
        </w:rPr>
        <w:t>专场招聘会200</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多场次</w:t>
      </w:r>
      <w:r>
        <w:rPr>
          <w:rFonts w:hint="eastAsia" w:ascii="仿宋_GB2312" w:hAnsi="仿宋_GB2312" w:eastAsia="仿宋_GB2312" w:cs="仿宋_GB2312"/>
          <w:b w:val="0"/>
          <w:bCs w:val="0"/>
          <w:color w:val="000000" w:themeColor="text1"/>
          <w:sz w:val="28"/>
          <w:szCs w:val="28"/>
          <w14:textFill>
            <w14:solidFill>
              <w14:schemeClr w14:val="tx1"/>
            </w14:solidFill>
          </w14:textFill>
        </w:rPr>
        <w:t>；其中，</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12月4日，学校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成功</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承</w:t>
      </w:r>
      <w:r>
        <w:rPr>
          <w:rFonts w:hint="eastAsia" w:ascii="仿宋_GB2312" w:hAnsi="仿宋_GB2312" w:eastAsia="仿宋_GB2312" w:cs="仿宋_GB2312"/>
          <w:b w:val="0"/>
          <w:bCs w:val="0"/>
          <w:color w:val="000000" w:themeColor="text1"/>
          <w:sz w:val="28"/>
          <w:szCs w:val="28"/>
          <w14:textFill>
            <w14:solidFill>
              <w14:schemeClr w14:val="tx1"/>
            </w14:solidFill>
          </w14:textFill>
        </w:rPr>
        <w:t>办</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了“</w:t>
      </w:r>
      <w:r>
        <w:rPr>
          <w:rFonts w:hint="eastAsia" w:ascii="仿宋_GB2312" w:hAnsi="仿宋_GB2312" w:eastAsia="仿宋_GB2312" w:cs="仿宋_GB2312"/>
          <w:b w:val="0"/>
          <w:bCs w:val="0"/>
          <w:color w:val="000000" w:themeColor="text1"/>
          <w:sz w:val="28"/>
          <w:szCs w:val="28"/>
          <w14:textFill>
            <w14:solidFill>
              <w14:schemeClr w14:val="tx1"/>
            </w14:solidFill>
          </w14:textFill>
        </w:rPr>
        <w:t>湖南省经管类</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暨湖南财政经济学院</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2022届毕业生</w:t>
      </w:r>
      <w:r>
        <w:rPr>
          <w:rFonts w:hint="eastAsia" w:ascii="仿宋_GB2312" w:hAnsi="仿宋_GB2312" w:eastAsia="仿宋_GB2312" w:cs="仿宋_GB2312"/>
          <w:b w:val="0"/>
          <w:bCs w:val="0"/>
          <w:color w:val="000000" w:themeColor="text1"/>
          <w:sz w:val="28"/>
          <w:szCs w:val="28"/>
          <w14:textFill>
            <w14:solidFill>
              <w14:schemeClr w14:val="tx1"/>
            </w14:solidFill>
          </w14:textFill>
        </w:rPr>
        <w:t>大型供需见面会</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，提供有效需求岗位18000多个</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，当天</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达成意向签约1186人，现场签约87人。</w:t>
      </w:r>
      <w:r>
        <w:rPr>
          <w:rFonts w:hint="eastAsia" w:ascii="仿宋_GB2312" w:hAnsi="仿宋_GB2312" w:eastAsia="仿宋_GB2312" w:cs="仿宋_GB2312"/>
          <w:b w:val="0"/>
          <w:bCs w:val="0"/>
          <w:color w:val="000000" w:themeColor="text1"/>
          <w:sz w:val="28"/>
          <w:szCs w:val="28"/>
          <w14:textFill>
            <w14:solidFill>
              <w14:schemeClr w14:val="tx1"/>
            </w14:solidFill>
          </w14:textFill>
        </w:rPr>
        <w:t>同时</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w:t>
      </w:r>
      <w:r>
        <w:rPr>
          <w:rFonts w:hint="eastAsia" w:ascii="仿宋_GB2312" w:hAnsi="仿宋_GB2312" w:eastAsia="仿宋_GB2312" w:cs="仿宋_GB2312"/>
          <w:b w:val="0"/>
          <w:bCs w:val="0"/>
          <w:color w:val="000000" w:themeColor="text1"/>
          <w:sz w:val="28"/>
          <w:szCs w:val="28"/>
          <w14:textFill>
            <w14:solidFill>
              <w14:schemeClr w14:val="tx1"/>
            </w14:solidFill>
          </w14:textFill>
        </w:rPr>
        <w:t>还积极组织毕业生参加省市</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区</w:t>
      </w:r>
      <w:r>
        <w:rPr>
          <w:rFonts w:hint="eastAsia" w:ascii="仿宋_GB2312" w:hAnsi="仿宋_GB2312" w:eastAsia="仿宋_GB2312" w:cs="仿宋_GB2312"/>
          <w:b w:val="0"/>
          <w:bCs w:val="0"/>
          <w:color w:val="000000" w:themeColor="text1"/>
          <w:sz w:val="28"/>
          <w:szCs w:val="28"/>
          <w14:textFill>
            <w14:solidFill>
              <w14:schemeClr w14:val="tx1"/>
            </w14:solidFill>
          </w14:textFill>
        </w:rPr>
        <w:t>相关职能部门组织的各类供需见面会，向社会各界</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积极</w:t>
      </w:r>
      <w:r>
        <w:rPr>
          <w:rFonts w:hint="eastAsia" w:ascii="仿宋_GB2312" w:hAnsi="仿宋_GB2312" w:eastAsia="仿宋_GB2312" w:cs="仿宋_GB2312"/>
          <w:b w:val="0"/>
          <w:bCs w:val="0"/>
          <w:color w:val="000000" w:themeColor="text1"/>
          <w:sz w:val="28"/>
          <w:szCs w:val="28"/>
          <w14:textFill>
            <w14:solidFill>
              <w14:schemeClr w14:val="tx1"/>
            </w14:solidFill>
          </w14:textFill>
        </w:rPr>
        <w:t>推介毕业生。</w:t>
      </w:r>
      <w:bookmarkEnd w:id="179"/>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进一步</w:t>
      </w:r>
      <w:r>
        <w:rPr>
          <w:rFonts w:hint="eastAsia" w:ascii="仿宋_GB2312" w:hAnsi="仿宋_GB2312" w:eastAsia="仿宋_GB2312" w:cs="仿宋_GB2312"/>
          <w:b/>
          <w:bCs/>
          <w:color w:val="000000" w:themeColor="text1"/>
          <w:sz w:val="28"/>
          <w:szCs w:val="28"/>
          <w14:textFill>
            <w14:solidFill>
              <w14:schemeClr w14:val="tx1"/>
            </w14:solidFill>
          </w14:textFill>
        </w:rPr>
        <w:t>完善就业帮扶体系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14:textFill>
            <w14:solidFill>
              <w14:schemeClr w14:val="tx1"/>
            </w14:solidFill>
          </w14:textFill>
        </w:rPr>
        <w:t>按照学校《困难毕业生就业工作帮扶办法》中 “重点关注、重点推荐、重点服务”的原则，</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大学生就业指导服务中心</w:t>
      </w:r>
      <w:r>
        <w:rPr>
          <w:rFonts w:hint="eastAsia" w:ascii="仿宋_GB2312" w:hAnsi="仿宋_GB2312" w:eastAsia="仿宋_GB2312" w:cs="仿宋_GB2312"/>
          <w:b w:val="0"/>
          <w:bCs w:val="0"/>
          <w:color w:val="000000" w:themeColor="text1"/>
          <w:sz w:val="28"/>
          <w:szCs w:val="28"/>
          <w14:textFill>
            <w14:solidFill>
              <w14:schemeClr w14:val="tx1"/>
            </w14:solidFill>
          </w14:textFill>
        </w:rPr>
        <w:t>和各二级学院联动，对困难毕业生情况进行了全面摸底排查，</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对就业困难学生进行</w:t>
      </w:r>
      <w:r>
        <w:rPr>
          <w:rFonts w:hint="eastAsia" w:ascii="仿宋_GB2312" w:hAnsi="仿宋_GB2312" w:eastAsia="仿宋_GB2312" w:cs="仿宋_GB2312"/>
          <w:b w:val="0"/>
          <w:bCs w:val="0"/>
          <w:color w:val="000000" w:themeColor="text1"/>
          <w:sz w:val="28"/>
          <w:szCs w:val="28"/>
          <w14:textFill>
            <w14:solidFill>
              <w14:schemeClr w14:val="tx1"/>
            </w14:solidFill>
          </w14:textFill>
        </w:rPr>
        <w:t>“建档立卡”，明确帮扶责任人，全面掌握他们的基本情况和需求</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14:textFill>
            <w14:solidFill>
              <w14:schemeClr w14:val="tx1"/>
            </w14:solidFill>
          </w14:textFill>
        </w:rPr>
        <w:t>大力实施“一对一”贫困生结对帮扶计划。落实重点人群“一人一档，一人一册”帮扶政策，</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切实</w:t>
      </w:r>
      <w:r>
        <w:rPr>
          <w:rFonts w:hint="eastAsia" w:ascii="仿宋_GB2312" w:hAnsi="仿宋_GB2312" w:eastAsia="仿宋_GB2312" w:cs="仿宋_GB2312"/>
          <w:b w:val="0"/>
          <w:bCs w:val="0"/>
          <w:color w:val="000000" w:themeColor="text1"/>
          <w:sz w:val="28"/>
          <w:szCs w:val="28"/>
          <w14:textFill>
            <w14:solidFill>
              <w14:schemeClr w14:val="tx1"/>
            </w14:solidFill>
          </w14:textFill>
        </w:rPr>
        <w:t>做到“一帮一”。20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学校共有</w:t>
      </w:r>
      <w:r>
        <w:rPr>
          <w:rFonts w:hint="eastAsia" w:ascii="仿宋_GB2312" w:hAnsi="仿宋_GB2312" w:eastAsia="仿宋_GB2312" w:cs="仿宋_GB2312"/>
          <w:b w:val="0"/>
          <w:bCs w:val="0"/>
          <w:color w:val="000000" w:themeColor="text1"/>
          <w:sz w:val="28"/>
          <w:szCs w:val="28"/>
          <w14:textFill>
            <w14:solidFill>
              <w14:schemeClr w14:val="tx1"/>
            </w14:solidFill>
          </w14:textFill>
        </w:rPr>
        <w:t>298人</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申报求职创业补贴</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获得补贴金额达</w:t>
      </w:r>
      <w:r>
        <w:rPr>
          <w:rFonts w:hint="eastAsia" w:ascii="仿宋_GB2312" w:hAnsi="仿宋_GB2312" w:eastAsia="仿宋_GB2312" w:cs="仿宋_GB2312"/>
          <w:b w:val="0"/>
          <w:bCs w:val="0"/>
          <w:color w:val="000000" w:themeColor="text1"/>
          <w:sz w:val="28"/>
          <w:szCs w:val="28"/>
          <w14:textFill>
            <w14:solidFill>
              <w14:schemeClr w14:val="tx1"/>
            </w14:solidFill>
          </w14:textFill>
        </w:rPr>
        <w:t>447000元</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2021届</w:t>
      </w:r>
      <w:r>
        <w:rPr>
          <w:rFonts w:hint="eastAsia" w:ascii="仿宋_GB2312" w:hAnsi="仿宋_GB2312" w:eastAsia="仿宋_GB2312" w:cs="仿宋_GB2312"/>
          <w:b w:val="0"/>
          <w:bCs w:val="0"/>
          <w:color w:val="000000" w:themeColor="text1"/>
          <w:sz w:val="28"/>
          <w:szCs w:val="28"/>
          <w14:textFill>
            <w14:solidFill>
              <w14:schemeClr w14:val="tx1"/>
            </w14:solidFill>
          </w14:textFill>
        </w:rPr>
        <w:t>毕业生中</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就业</w:t>
      </w:r>
      <w:r>
        <w:rPr>
          <w:rFonts w:hint="eastAsia" w:ascii="仿宋_GB2312" w:hAnsi="仿宋_GB2312" w:eastAsia="仿宋_GB2312" w:cs="仿宋_GB2312"/>
          <w:b w:val="0"/>
          <w:bCs w:val="0"/>
          <w:color w:val="000000" w:themeColor="text1"/>
          <w:sz w:val="28"/>
          <w:szCs w:val="28"/>
          <w14:textFill>
            <w14:solidFill>
              <w14:schemeClr w14:val="tx1"/>
            </w14:solidFill>
          </w14:textFill>
        </w:rPr>
        <w:t>困难毕业生</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32</w:t>
      </w:r>
      <w:r>
        <w:rPr>
          <w:rFonts w:hint="eastAsia" w:ascii="仿宋_GB2312" w:hAnsi="仿宋_GB2312" w:eastAsia="仿宋_GB2312" w:cs="仿宋_GB2312"/>
          <w:b w:val="0"/>
          <w:bCs w:val="0"/>
          <w:color w:val="000000" w:themeColor="text1"/>
          <w:sz w:val="28"/>
          <w:szCs w:val="28"/>
          <w14:textFill>
            <w14:solidFill>
              <w14:schemeClr w14:val="tx1"/>
            </w14:solidFill>
          </w14:textFill>
        </w:rPr>
        <w:t>人，截至20</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28"/>
          <w:szCs w:val="28"/>
          <w14:textFill>
            <w14:solidFill>
              <w14:schemeClr w14:val="tx1"/>
            </w14:solidFill>
          </w14:textFill>
        </w:rPr>
        <w:t>年8月31日，一次就业率为</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100</w:t>
      </w:r>
      <w:r>
        <w:rPr>
          <w:rFonts w:hint="eastAsia" w:ascii="仿宋_GB2312" w:hAnsi="仿宋_GB2312" w:eastAsia="仿宋_GB2312" w:cs="仿宋_GB2312"/>
          <w:b w:val="0"/>
          <w:bCs w:val="0"/>
          <w:color w:val="000000" w:themeColor="text1"/>
          <w:sz w:val="28"/>
          <w:szCs w:val="28"/>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切实</w:t>
      </w:r>
      <w:r>
        <w:rPr>
          <w:rFonts w:hint="eastAsia" w:ascii="仿宋_GB2312" w:hAnsi="仿宋_GB2312" w:eastAsia="仿宋_GB2312" w:cs="仿宋_GB2312"/>
          <w:b w:val="0"/>
          <w:bCs w:val="0"/>
          <w:color w:val="000000" w:themeColor="text1"/>
          <w:sz w:val="28"/>
          <w:szCs w:val="28"/>
          <w14:textFill>
            <w14:solidFill>
              <w14:schemeClr w14:val="tx1"/>
            </w14:solidFill>
          </w14:textFill>
        </w:rPr>
        <w:t>帮助他们解决了就业难的实际问题。</w:t>
      </w:r>
    </w:p>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80" w:name="_Toc20671"/>
      <w:bookmarkStart w:id="181" w:name="_Toc31822"/>
      <w:bookmarkStart w:id="182" w:name="_Toc29969"/>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5.4 以基地为抓手，</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以活动为载体，创新创业工作</w:t>
      </w:r>
      <w:bookmarkEnd w:id="180"/>
      <w:bookmarkEnd w:id="181"/>
      <w:bookmarkEnd w:id="182"/>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全面铺开</w:t>
      </w:r>
    </w:p>
    <w:p>
      <w:pPr>
        <w:keepNext w:val="0"/>
        <w:keepLines w:val="0"/>
        <w:pageBreakBefore w:val="0"/>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一是加强平台建设。</w:t>
      </w:r>
      <w:r>
        <w:rPr>
          <w:rFonts w:hint="eastAsia" w:ascii="仿宋_GB2312" w:hAnsi="仿宋_GB2312" w:eastAsia="仿宋_GB2312" w:cs="仿宋_GB2312"/>
          <w:sz w:val="28"/>
          <w:szCs w:val="28"/>
          <w:lang w:val="en-US" w:eastAsia="zh-CN"/>
        </w:rPr>
        <w:t>2021年学校组织开展创新创业教育中心和创新创业校企合作教育基地的申报与评审工作，会计学院等4个单位共申报了5个创新创业中心和基地。其中“智能化信息管理大学生创新创业教育中心”、“工程管理类BIM专业创新创业教育中心”、“电子信息工程训练校企合作创新创业教育基地”、“智慧财务校企合作创新创业教育基地”“国土空间规划类专业校企合作创新创业教育基地”被认定为湖南省普通高校创新创业教育中心和校企合作创新创业教育基地，目前学校共有创新创业教育、训练中心（基地）20个。</w:t>
      </w:r>
    </w:p>
    <w:p>
      <w:pPr>
        <w:keepNext w:val="0"/>
        <w:keepLines w:val="0"/>
        <w:pageBreakBefore w:val="0"/>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二是培育和发展入孵项目。</w:t>
      </w:r>
      <w:r>
        <w:rPr>
          <w:rFonts w:hint="eastAsia" w:ascii="仿宋_GB2312" w:hAnsi="仿宋_GB2312" w:eastAsia="仿宋_GB2312" w:cs="仿宋_GB2312"/>
          <w:sz w:val="28"/>
          <w:szCs w:val="28"/>
          <w:lang w:val="en-US" w:eastAsia="zh-CN"/>
        </w:rPr>
        <w:t>2021年，学校组织了第七、第八批“创业项目入驻创新创业孵化中心”遴选活动，“长沙星库文化传播有限责任公司”“悠百佳电子商务有限公司”等21个创业项目成功入孵创新创业孵化中心。目前，学校大学生创新创业孵化中心共有在孵创业项目32个。</w:t>
      </w:r>
    </w:p>
    <w:p>
      <w:pPr>
        <w:keepNext w:val="0"/>
        <w:keepLines w:val="0"/>
        <w:pageBreakBefore w:val="0"/>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三是积极开展双创教育与活动。</w:t>
      </w:r>
      <w:r>
        <w:rPr>
          <w:rFonts w:hint="eastAsia" w:ascii="仿宋_GB2312" w:hAnsi="仿宋_GB2312" w:eastAsia="仿宋_GB2312" w:cs="仿宋_GB2312"/>
          <w:sz w:val="28"/>
          <w:szCs w:val="28"/>
          <w:lang w:val="en-US" w:eastAsia="zh-CN"/>
        </w:rPr>
        <w:t>2021年，学校通过线上线下继续开展“创业沙龙半月谈”、“一月一诊断”、“创业人物专栏”、“梅溪双创大讲堂”四大特色活动。一年来，我们邀请了“书香中国”公益阅读推广人付甲、活力同伴教育咨询服务工作室合伙人王卿、湖南大科城黑马文化产业发展有限公司董事长胡含兵、国家高级茶艺师陈梓兮、湖南省人社厅职业指导专家团成员朱丽亚等11位公司高管、行业协会专家、高校学者来我校开展创业沙龙、讲座、项目路演活动13场，近5000人次参加活动。</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四是竭力组织创新创业大赛。</w:t>
      </w:r>
      <w:r>
        <w:rPr>
          <w:rFonts w:hint="eastAsia" w:ascii="仿宋_GB2312" w:hAnsi="仿宋_GB2312" w:eastAsia="仿宋_GB2312" w:cs="仿宋_GB2312"/>
          <w:sz w:val="28"/>
          <w:szCs w:val="28"/>
          <w:lang w:val="en-US" w:eastAsia="zh-CN"/>
        </w:rPr>
        <w:t>2021年，学校组织学生积极参加“互联网+”、“挑战杯”、“麓山杯”、“星城杯”、“红枫计划”等创新创业大赛，安排校内外导师多层次分类指导，开展各项大赛的校内推广会、专家培训会、答辩会和校内选拔赛，以赛促创、突出品牌、扩大参与人数，极大地调动了学生参与创新创业活动的积极性和主动性。</w:t>
      </w:r>
    </w:p>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83" w:name="_Toc29240"/>
      <w:bookmarkStart w:id="184" w:name="_Toc19821"/>
      <w:bookmarkStart w:id="185" w:name="_Toc24752"/>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5.5 </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创新方法，</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凝练特色，</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工作成效显著</w:t>
      </w:r>
      <w:bookmarkEnd w:id="183"/>
      <w:bookmarkEnd w:id="184"/>
      <w:bookmarkEnd w:id="185"/>
    </w:p>
    <w:p>
      <w:pPr>
        <w:pStyle w:val="117"/>
        <w:keepNext w:val="0"/>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_GB2312" w:hAnsi="仿宋_GB2312" w:eastAsia="仿宋_GB2312" w:cs="仿宋_GB2312"/>
          <w:b/>
          <w:bCs w:val="0"/>
          <w:sz w:val="28"/>
          <w:szCs w:val="28"/>
          <w:lang w:val="en-US" w:eastAsia="zh-CN"/>
        </w:rPr>
      </w:pPr>
      <w:bookmarkStart w:id="186" w:name="_Toc18613"/>
      <w:r>
        <w:rPr>
          <w:rFonts w:hint="eastAsia" w:ascii="仿宋_GB2312" w:hAnsi="仿宋_GB2312" w:eastAsia="仿宋_GB2312" w:cs="仿宋_GB2312"/>
          <w:b/>
          <w:bCs w:val="0"/>
          <w:color w:val="000000" w:themeColor="text1"/>
          <w:sz w:val="28"/>
          <w:szCs w:val="28"/>
          <w:lang w:val="en-US" w:eastAsia="zh-CN"/>
          <w14:textFill>
            <w14:solidFill>
              <w14:schemeClr w14:val="tx1"/>
            </w14:solidFill>
          </w14:textFill>
        </w:rPr>
        <w:t>1.深化人才培养模式，</w:t>
      </w:r>
      <w:r>
        <w:rPr>
          <w:rFonts w:hint="eastAsia" w:ascii="仿宋_GB2312" w:hAnsi="仿宋_GB2312" w:eastAsia="仿宋_GB2312" w:cs="仿宋_GB2312"/>
          <w:b/>
          <w:bCs w:val="0"/>
          <w:sz w:val="28"/>
          <w:szCs w:val="28"/>
          <w:lang w:val="en-US" w:eastAsia="zh-CN"/>
        </w:rPr>
        <w:t>毕业生培养质量</w:t>
      </w:r>
      <w:r>
        <w:rPr>
          <w:rFonts w:hint="eastAsia" w:ascii="仿宋_GB2312" w:hAnsi="仿宋_GB2312" w:eastAsia="仿宋_GB2312" w:cs="仿宋_GB2312"/>
          <w:b/>
          <w:bCs w:val="0"/>
          <w:sz w:val="28"/>
          <w:szCs w:val="28"/>
          <w:highlight w:val="none"/>
          <w:lang w:val="en-US" w:eastAsia="zh-CN"/>
        </w:rPr>
        <w:t>较高</w:t>
      </w:r>
      <w:r>
        <w:rPr>
          <w:rFonts w:hint="eastAsia" w:ascii="仿宋_GB2312" w:hAnsi="仿宋_GB2312" w:eastAsia="仿宋_GB2312" w:cs="仿宋_GB2312"/>
          <w:b/>
          <w:bCs w:val="0"/>
          <w:sz w:val="28"/>
          <w:szCs w:val="28"/>
          <w:lang w:val="en-US" w:eastAsia="zh-CN"/>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b w:val="0"/>
          <w:bCs/>
          <w:color w:val="000000" w:themeColor="text1"/>
          <w:sz w:val="28"/>
          <w:szCs w:val="28"/>
          <w14:textFill>
            <w14:solidFill>
              <w14:schemeClr w14:val="tx1"/>
            </w14:solidFill>
          </w14:textFill>
        </w:rPr>
      </w:pPr>
      <w:r>
        <w:rPr>
          <w:rFonts w:hint="eastAsia" w:ascii="仿宋_GB2312" w:hAnsi="仿宋_GB2312" w:eastAsia="仿宋_GB2312" w:cs="仿宋_GB2312"/>
          <w:b w:val="0"/>
          <w:bCs/>
          <w:color w:val="auto"/>
          <w:sz w:val="28"/>
          <w:szCs w:val="28"/>
        </w:rPr>
        <w:t>学校坚持“新时代、新思想、育新人”人才培养理念，深化教育教学综合改革，以国家“新工科、新文科”建设为契机，</w:t>
      </w:r>
      <w:r>
        <w:rPr>
          <w:rFonts w:hint="eastAsia" w:ascii="仿宋_GB2312" w:hAnsi="仿宋_GB2312" w:eastAsia="仿宋_GB2312" w:cs="仿宋_GB2312"/>
          <w:b w:val="0"/>
          <w:bCs/>
          <w:color w:val="auto"/>
          <w:sz w:val="28"/>
          <w:szCs w:val="28"/>
          <w:lang w:val="en-US" w:eastAsia="zh-CN"/>
        </w:rPr>
        <w:t>开办了</w:t>
      </w:r>
      <w:r>
        <w:rPr>
          <w:rFonts w:hint="eastAsia" w:ascii="仿宋_GB2312" w:hAnsi="仿宋_GB2312" w:eastAsia="仿宋_GB2312" w:cs="仿宋_GB2312"/>
          <w:b w:val="0"/>
          <w:bCs/>
          <w:color w:val="auto"/>
          <w:sz w:val="28"/>
          <w:szCs w:val="28"/>
        </w:rPr>
        <w:t>人才培养改革实验</w:t>
      </w:r>
      <w:r>
        <w:rPr>
          <w:rFonts w:hint="eastAsia" w:ascii="仿宋_GB2312" w:hAnsi="仿宋_GB2312" w:eastAsia="仿宋_GB2312" w:cs="仿宋_GB2312"/>
          <w:b w:val="0"/>
          <w:bCs/>
          <w:color w:val="auto"/>
          <w:sz w:val="28"/>
          <w:szCs w:val="28"/>
          <w:lang w:val="en-US" w:eastAsia="zh-CN"/>
        </w:rPr>
        <w:t>班</w:t>
      </w:r>
      <w:r>
        <w:rPr>
          <w:rFonts w:hint="eastAsia" w:ascii="仿宋_GB2312" w:hAnsi="仿宋_GB2312" w:eastAsia="仿宋_GB2312" w:cs="仿宋_GB2312"/>
          <w:b w:val="0"/>
          <w:bCs/>
          <w:color w:val="auto"/>
          <w:sz w:val="28"/>
          <w:szCs w:val="28"/>
        </w:rPr>
        <w:t>，培养拔尖创新型人才。按照“5+10+X”模式推行三学期制，结合学生兴趣与发展方向开办了第二学士学位班、公务员、托福、GRE等辅导班，拓展海外硕士项目，结合学生发展兴趣与发展方向，推动人才培养体系不断优化，努力培养适应和引领新一轮科技革命和产业变革的高级应用型人才。</w:t>
      </w:r>
      <w:r>
        <w:rPr>
          <w:rFonts w:hint="eastAsia" w:ascii="仿宋_GB2312" w:hAnsi="仿宋_GB2312" w:eastAsia="仿宋_GB2312" w:cs="仿宋_GB2312"/>
          <w:b w:val="0"/>
          <w:bCs/>
          <w:color w:val="auto"/>
          <w:sz w:val="28"/>
          <w:szCs w:val="28"/>
          <w:lang w:val="en-US" w:eastAsia="zh-CN"/>
        </w:rPr>
        <w:t>学校把高水平师资队伍作为发展的第一资源，近两年，学校共引进博士教师200余名，经管类博士教师数量在全省高校处于领先水平</w:t>
      </w:r>
      <w:bookmarkStart w:id="187" w:name="_Toc12042"/>
      <w:r>
        <w:rPr>
          <w:rFonts w:hint="eastAsia" w:ascii="仿宋_GB2312" w:hAnsi="仿宋_GB2312" w:eastAsia="仿宋_GB2312" w:cs="仿宋_GB2312"/>
          <w:b w:val="0"/>
          <w:bCs/>
          <w:color w:val="auto"/>
          <w:sz w:val="28"/>
          <w:szCs w:val="28"/>
          <w:lang w:val="en-US" w:eastAsia="zh-CN"/>
        </w:rPr>
        <w:t>，</w:t>
      </w:r>
      <w:r>
        <w:rPr>
          <w:rFonts w:hint="eastAsia" w:ascii="仿宋_GB2312" w:hAnsi="仿宋_GB2312" w:eastAsia="仿宋_GB2312" w:cs="仿宋_GB2312"/>
          <w:b w:val="0"/>
          <w:bCs/>
          <w:sz w:val="28"/>
          <w:szCs w:val="28"/>
          <w:lang w:val="en-US" w:eastAsia="zh-CN"/>
        </w:rPr>
        <w:t>毕业生培养质量逐年增高</w:t>
      </w:r>
      <w:r>
        <w:rPr>
          <w:rFonts w:hint="eastAsia" w:ascii="仿宋_GB2312" w:hAnsi="仿宋_GB2312" w:eastAsia="仿宋_GB2312" w:cs="仿宋_GB2312"/>
          <w:b w:val="0"/>
          <w:bCs/>
          <w:sz w:val="28"/>
          <w:szCs w:val="28"/>
          <w:highlight w:val="none"/>
          <w:lang w:val="en-US" w:eastAsia="zh-CN"/>
        </w:rPr>
        <w:t>，</w:t>
      </w:r>
      <w:r>
        <w:rPr>
          <w:rFonts w:hint="eastAsia" w:ascii="仿宋_GB2312" w:hAnsi="仿宋_GB2312" w:eastAsia="仿宋_GB2312" w:cs="仿宋_GB2312"/>
          <w:b w:val="0"/>
          <w:bCs/>
          <w:color w:val="000000"/>
          <w:sz w:val="28"/>
          <w:szCs w:val="28"/>
          <w:lang w:val="en-US" w:eastAsia="zh-CN"/>
        </w:rPr>
        <w:t>社会各界对学校人才综合培养满意度较好。2021年，</w:t>
      </w:r>
      <w:r>
        <w:rPr>
          <w:rFonts w:hint="eastAsia" w:ascii="仿宋_GB2312" w:hAnsi="仿宋_GB2312" w:eastAsia="仿宋_GB2312" w:cs="仿宋_GB2312"/>
          <w:b w:val="0"/>
          <w:bCs/>
          <w:sz w:val="28"/>
          <w:szCs w:val="28"/>
        </w:rPr>
        <w:t>调</w:t>
      </w:r>
      <w:r>
        <w:rPr>
          <w:rFonts w:hint="eastAsia" w:ascii="仿宋_GB2312" w:hAnsi="仿宋_GB2312" w:eastAsia="仿宋_GB2312" w:cs="仿宋_GB2312"/>
          <w:b w:val="0"/>
          <w:bCs/>
          <w:sz w:val="28"/>
          <w:szCs w:val="28"/>
          <w:lang w:eastAsia="zh-CN"/>
        </w:rPr>
        <w:t>研</w:t>
      </w:r>
      <w:r>
        <w:rPr>
          <w:rFonts w:hint="eastAsia" w:ascii="仿宋_GB2312" w:hAnsi="仿宋_GB2312" w:eastAsia="仿宋_GB2312" w:cs="仿宋_GB2312"/>
          <w:b w:val="0"/>
          <w:bCs/>
          <w:sz w:val="28"/>
          <w:szCs w:val="28"/>
        </w:rPr>
        <w:t>结果</w:t>
      </w:r>
      <w:r>
        <w:rPr>
          <w:rFonts w:hint="eastAsia" w:ascii="仿宋_GB2312" w:hAnsi="仿宋_GB2312" w:eastAsia="仿宋_GB2312" w:cs="仿宋_GB2312"/>
          <w:b w:val="0"/>
          <w:bCs/>
          <w:sz w:val="28"/>
          <w:szCs w:val="28"/>
          <w:lang w:eastAsia="zh-CN"/>
        </w:rPr>
        <w:t>和</w:t>
      </w:r>
      <w:r>
        <w:rPr>
          <w:rFonts w:hint="eastAsia" w:ascii="仿宋_GB2312" w:hAnsi="仿宋_GB2312" w:eastAsia="仿宋_GB2312" w:cs="仿宋_GB2312"/>
          <w:b w:val="0"/>
          <w:bCs/>
          <w:color w:val="000000"/>
          <w:sz w:val="28"/>
          <w:szCs w:val="28"/>
          <w:lang w:val="en-US" w:eastAsia="zh-CN"/>
        </w:rPr>
        <w:t>用人单位</w:t>
      </w:r>
      <w:r>
        <w:rPr>
          <w:rFonts w:hint="eastAsia" w:ascii="仿宋_GB2312" w:hAnsi="仿宋_GB2312" w:eastAsia="仿宋_GB2312" w:cs="仿宋_GB2312"/>
          <w:b w:val="0"/>
          <w:bCs/>
          <w:sz w:val="28"/>
          <w:szCs w:val="28"/>
          <w:lang w:eastAsia="zh-CN"/>
        </w:rPr>
        <w:t>反馈的信息</w:t>
      </w:r>
      <w:r>
        <w:rPr>
          <w:rFonts w:hint="eastAsia" w:ascii="仿宋_GB2312" w:hAnsi="仿宋_GB2312" w:eastAsia="仿宋_GB2312" w:cs="仿宋_GB2312"/>
          <w:b w:val="0"/>
          <w:bCs/>
          <w:sz w:val="28"/>
          <w:szCs w:val="28"/>
        </w:rPr>
        <w:t>显示,用人单位对学校的专业设置</w:t>
      </w:r>
      <w:r>
        <w:rPr>
          <w:rFonts w:hint="eastAsia" w:ascii="仿宋_GB2312" w:hAnsi="仿宋_GB2312" w:eastAsia="仿宋_GB2312" w:cs="仿宋_GB2312"/>
          <w:b w:val="0"/>
          <w:bCs/>
          <w:sz w:val="28"/>
          <w:szCs w:val="28"/>
          <w:lang w:eastAsia="zh-CN"/>
        </w:rPr>
        <w:t>、毕业生的</w:t>
      </w:r>
      <w:r>
        <w:rPr>
          <w:rFonts w:hint="eastAsia" w:ascii="仿宋_GB2312" w:hAnsi="仿宋_GB2312" w:eastAsia="仿宋_GB2312" w:cs="仿宋_GB2312"/>
          <w:b w:val="0"/>
          <w:bCs/>
          <w:sz w:val="28"/>
          <w:szCs w:val="28"/>
        </w:rPr>
        <w:t>思想表现、敬业精神、专业水平、工作能力</w:t>
      </w:r>
      <w:r>
        <w:rPr>
          <w:rFonts w:hint="eastAsia" w:ascii="仿宋_GB2312" w:hAnsi="仿宋_GB2312" w:eastAsia="仿宋_GB2312" w:cs="仿宋_GB2312"/>
          <w:b w:val="0"/>
          <w:bCs/>
          <w:sz w:val="28"/>
          <w:szCs w:val="28"/>
          <w:lang w:eastAsia="zh-CN"/>
        </w:rPr>
        <w:t>和</w:t>
      </w:r>
      <w:r>
        <w:rPr>
          <w:rFonts w:hint="eastAsia" w:ascii="仿宋_GB2312" w:hAnsi="仿宋_GB2312" w:eastAsia="仿宋_GB2312" w:cs="仿宋_GB2312"/>
          <w:b w:val="0"/>
          <w:bCs/>
          <w:sz w:val="28"/>
          <w:szCs w:val="28"/>
        </w:rPr>
        <w:t>基本技能等指标的满意度均达到95%</w:t>
      </w:r>
      <w:r>
        <w:rPr>
          <w:rFonts w:hint="eastAsia" w:ascii="仿宋_GB2312" w:hAnsi="仿宋_GB2312" w:eastAsia="仿宋_GB2312" w:cs="仿宋_GB2312"/>
          <w:b w:val="0"/>
          <w:bCs/>
          <w:sz w:val="28"/>
          <w:szCs w:val="28"/>
          <w:lang w:eastAsia="zh-CN"/>
        </w:rPr>
        <w:t>以上</w:t>
      </w:r>
      <w:r>
        <w:rPr>
          <w:rFonts w:hint="eastAsia" w:ascii="仿宋_GB2312" w:hAnsi="仿宋_GB2312" w:eastAsia="仿宋_GB2312" w:cs="仿宋_GB2312"/>
          <w:b w:val="0"/>
          <w:bCs/>
          <w:sz w:val="28"/>
          <w:szCs w:val="28"/>
        </w:rPr>
        <w:t>。</w:t>
      </w:r>
      <w:bookmarkEnd w:id="187"/>
    </w:p>
    <w:p>
      <w:pPr>
        <w:keepNext w:val="0"/>
        <w:keepLines w:val="0"/>
        <w:pageBreakBefore w:val="0"/>
        <w:kinsoku/>
        <w:wordWrap/>
        <w:overflowPunct/>
        <w:topLinePunct w:val="0"/>
        <w:autoSpaceDE/>
        <w:autoSpaceDN/>
        <w:bidi w:val="0"/>
        <w:adjustRightInd/>
        <w:snapToGrid/>
        <w:spacing w:line="360" w:lineRule="auto"/>
        <w:ind w:firstLine="562" w:firstLineChars="200"/>
        <w:textAlignment w:val="auto"/>
        <w:outlineLvl w:val="9"/>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2.</w:t>
      </w:r>
      <w:r>
        <w:rPr>
          <w:rFonts w:hint="eastAsia" w:ascii="仿宋_GB2312" w:hAnsi="仿宋_GB2312" w:eastAsia="仿宋_GB2312" w:cs="仿宋_GB2312"/>
          <w:b/>
          <w:color w:val="000000"/>
          <w:sz w:val="28"/>
          <w:szCs w:val="28"/>
          <w:lang w:val="en-US" w:eastAsia="zh-CN"/>
        </w:rPr>
        <w:t>完善联动机制，</w:t>
      </w:r>
      <w:r>
        <w:rPr>
          <w:rFonts w:hint="eastAsia" w:ascii="仿宋_GB2312" w:hAnsi="仿宋_GB2312" w:eastAsia="仿宋_GB2312" w:cs="仿宋_GB2312"/>
          <w:b/>
          <w:sz w:val="28"/>
          <w:szCs w:val="28"/>
          <w:lang w:val="en-US" w:eastAsia="zh-CN"/>
        </w:rPr>
        <w:t>来校招聘单位质量</w:t>
      </w:r>
      <w:r>
        <w:rPr>
          <w:rFonts w:hint="eastAsia" w:ascii="仿宋_GB2312" w:hAnsi="仿宋_GB2312" w:eastAsia="仿宋_GB2312" w:cs="仿宋_GB2312"/>
          <w:b/>
          <w:sz w:val="28"/>
          <w:szCs w:val="28"/>
          <w:highlight w:val="none"/>
          <w:lang w:val="en-US" w:eastAsia="zh-CN"/>
        </w:rPr>
        <w:t>较好。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color w:val="000000"/>
          <w:sz w:val="28"/>
          <w:szCs w:val="28"/>
        </w:rPr>
        <w:t>学校在制定或修改相关政策时，充分考虑就业工作的</w:t>
      </w:r>
      <w:r>
        <w:rPr>
          <w:rFonts w:hint="eastAsia" w:ascii="仿宋_GB2312" w:hAnsi="仿宋_GB2312" w:eastAsia="仿宋_GB2312" w:cs="仿宋_GB2312"/>
          <w:b/>
          <w:bCs/>
          <w:color w:val="000000"/>
          <w:sz w:val="28"/>
          <w:szCs w:val="28"/>
        </w:rPr>
        <w:t>“三挂钩”、“三结合”</w:t>
      </w:r>
      <w:r>
        <w:rPr>
          <w:rFonts w:hint="eastAsia" w:ascii="仿宋_GB2312" w:hAnsi="仿宋_GB2312" w:eastAsia="仿宋_GB2312" w:cs="仿宋_GB2312"/>
          <w:color w:val="000000"/>
          <w:sz w:val="28"/>
          <w:szCs w:val="28"/>
        </w:rPr>
        <w:t>（就业工作与评优、绩效、学业指导老师考核挂钩；就业工作与老师课时质量、实习、培养方案结合）。切实对照上级主管部门要求，将就业创业知识竞赛参赛率、职业规划大赛参赛率、考研报考率、基层就业项目报名人数等各项就业工作指标进行层层分解，责任到人。进一步加大就业创业工作在绩效中的比重，充分调动</w:t>
      </w:r>
      <w:r>
        <w:rPr>
          <w:rFonts w:hint="eastAsia" w:ascii="仿宋_GB2312" w:hAnsi="仿宋_GB2312" w:eastAsia="仿宋_GB2312" w:cs="仿宋_GB2312"/>
          <w:color w:val="000000"/>
          <w:sz w:val="28"/>
          <w:szCs w:val="28"/>
          <w:lang w:eastAsia="zh-CN"/>
        </w:rPr>
        <w:t>了</w:t>
      </w:r>
      <w:r>
        <w:rPr>
          <w:rFonts w:hint="eastAsia" w:ascii="仿宋_GB2312" w:hAnsi="仿宋_GB2312" w:eastAsia="仿宋_GB2312" w:cs="仿宋_GB2312"/>
          <w:color w:val="000000"/>
          <w:sz w:val="28"/>
          <w:szCs w:val="28"/>
        </w:rPr>
        <w:t>各二级学院在就业创业工作中的积极性和主动性</w:t>
      </w:r>
      <w:r>
        <w:rPr>
          <w:rFonts w:hint="eastAsia" w:ascii="仿宋_GB2312" w:hAnsi="仿宋_GB2312" w:eastAsia="仿宋_GB2312" w:cs="仿宋_GB2312"/>
          <w:color w:val="000000"/>
          <w:sz w:val="28"/>
          <w:szCs w:val="28"/>
          <w:lang w:val="en-US" w:eastAsia="zh-CN"/>
        </w:rPr>
        <w:t>，来校招聘的优质单位也逐年增多。2021年，学校承办的</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湖南省经管类</w:t>
      </w:r>
      <w:r>
        <w:rPr>
          <w:rFonts w:hint="eastAsia" w:ascii="仿宋_GB2312" w:hAnsi="仿宋_GB2312" w:eastAsia="仿宋_GB2312" w:cs="仿宋_GB2312"/>
          <w:sz w:val="28"/>
          <w:szCs w:val="28"/>
          <w:lang w:eastAsia="zh-CN"/>
        </w:rPr>
        <w:t>暨湖南财政经济学院</w:t>
      </w:r>
      <w:r>
        <w:rPr>
          <w:rFonts w:hint="eastAsia" w:ascii="仿宋_GB2312" w:hAnsi="仿宋_GB2312" w:eastAsia="仿宋_GB2312" w:cs="仿宋_GB2312"/>
          <w:sz w:val="28"/>
          <w:szCs w:val="28"/>
          <w:lang w:val="en-US" w:eastAsia="zh-CN"/>
        </w:rPr>
        <w:t>2022届毕业生</w:t>
      </w:r>
      <w:r>
        <w:rPr>
          <w:rFonts w:hint="eastAsia" w:ascii="仿宋_GB2312" w:hAnsi="仿宋_GB2312" w:eastAsia="仿宋_GB2312" w:cs="仿宋_GB2312"/>
          <w:sz w:val="28"/>
          <w:szCs w:val="28"/>
        </w:rPr>
        <w:t>大型供需见面会</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参会</w:t>
      </w:r>
      <w:r>
        <w:rPr>
          <w:rFonts w:hint="eastAsia" w:ascii="仿宋_GB2312" w:hAnsi="仿宋_GB2312" w:eastAsia="仿宋_GB2312" w:cs="仿宋_GB2312"/>
          <w:sz w:val="28"/>
          <w:szCs w:val="28"/>
        </w:rPr>
        <w:t>单位324家</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国有企业占参会单位总数的7.31%；三资企业占4.32%；医疗卫生单位占1%；高等教育单位占0.66%；科研设计单位占0.33%；其他事业单位占0.33%</w:t>
      </w:r>
      <w:r>
        <w:rPr>
          <w:rFonts w:hint="eastAsia" w:ascii="仿宋_GB2312" w:hAnsi="仿宋_GB2312" w:eastAsia="仿宋_GB2312" w:cs="仿宋_GB2312"/>
          <w:b/>
          <w:bCs/>
          <w:color w:val="000000"/>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_GB2312" w:hAnsi="仿宋_GB2312" w:eastAsia="仿宋_GB2312" w:cs="仿宋_GB2312"/>
          <w:b/>
          <w:kern w:val="0"/>
          <w:sz w:val="28"/>
          <w:szCs w:val="28"/>
          <w:highlight w:val="red"/>
          <w:lang w:val="en-US" w:eastAsia="zh-CN" w:bidi="ar-SA"/>
        </w:rPr>
      </w:pPr>
      <w:bookmarkStart w:id="188" w:name="_Toc18717"/>
      <w:r>
        <w:rPr>
          <w:rFonts w:hint="eastAsia" w:ascii="仿宋_GB2312" w:hAnsi="仿宋_GB2312" w:eastAsia="仿宋_GB2312" w:cs="仿宋_GB2312"/>
          <w:b/>
          <w:kern w:val="0"/>
          <w:sz w:val="28"/>
          <w:szCs w:val="28"/>
          <w:lang w:val="en-US" w:eastAsia="zh-CN" w:bidi="ar-SA"/>
        </w:rPr>
        <w:t>3.平台引领作用突出，创新创业大赛和课题项目成绩</w:t>
      </w:r>
      <w:r>
        <w:rPr>
          <w:rFonts w:hint="eastAsia" w:ascii="仿宋_GB2312" w:hAnsi="仿宋_GB2312" w:eastAsia="仿宋_GB2312" w:cs="仿宋_GB2312"/>
          <w:b/>
          <w:color w:val="000000" w:themeColor="text1"/>
          <w:kern w:val="0"/>
          <w:sz w:val="28"/>
          <w:szCs w:val="28"/>
          <w:lang w:val="en-US" w:eastAsia="zh-CN" w:bidi="ar-SA"/>
          <w14:textFill>
            <w14:solidFill>
              <w14:schemeClr w14:val="tx1"/>
            </w14:solidFill>
          </w14:textFill>
        </w:rPr>
        <w:t>斐然</w:t>
      </w:r>
      <w:r>
        <w:rPr>
          <w:rFonts w:hint="eastAsia" w:ascii="仿宋_GB2312" w:hAnsi="仿宋_GB2312" w:eastAsia="仿宋_GB2312" w:cs="仿宋_GB2312"/>
          <w:b/>
          <w:kern w:val="0"/>
          <w:sz w:val="28"/>
          <w:szCs w:val="28"/>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sz w:val="28"/>
          <w:szCs w:val="28"/>
        </w:rPr>
        <w:t>近年来，</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color w:val="000000"/>
          <w:sz w:val="28"/>
          <w:szCs w:val="28"/>
          <w:lang w:val="en-US" w:eastAsia="zh-CN"/>
        </w:rPr>
        <w:t>学校积极组织学生参加“互联网+”、“挑战杯”、</w:t>
      </w:r>
      <w:r>
        <w:rPr>
          <w:rFonts w:hint="eastAsia" w:ascii="仿宋_GB2312" w:hAnsi="仿宋_GB2312" w:eastAsia="仿宋_GB2312" w:cs="仿宋_GB2312"/>
          <w:sz w:val="28"/>
          <w:szCs w:val="28"/>
          <w:lang w:val="en-US" w:eastAsia="zh-CN"/>
        </w:rPr>
        <w:t>“麓山杯”、“</w:t>
      </w:r>
      <w:r>
        <w:rPr>
          <w:rFonts w:hint="eastAsia" w:ascii="仿宋_GB2312" w:hAnsi="仿宋_GB2312" w:eastAsia="仿宋_GB2312" w:cs="仿宋_GB2312"/>
          <w:color w:val="000000"/>
          <w:sz w:val="28"/>
          <w:szCs w:val="28"/>
          <w:lang w:val="en-US" w:eastAsia="zh-CN"/>
        </w:rPr>
        <w:t>星城杯</w:t>
      </w:r>
      <w:r>
        <w:rPr>
          <w:rFonts w:hint="eastAsia" w:ascii="仿宋_GB2312" w:hAnsi="仿宋_GB2312" w:eastAsia="仿宋_GB2312" w:cs="仿宋_GB2312"/>
          <w:sz w:val="28"/>
          <w:szCs w:val="28"/>
          <w:lang w:val="en-US" w:eastAsia="zh-CN"/>
        </w:rPr>
        <w:t>”、“红枫计划”等</w:t>
      </w:r>
      <w:r>
        <w:rPr>
          <w:rFonts w:hint="eastAsia" w:ascii="仿宋_GB2312" w:hAnsi="仿宋_GB2312" w:eastAsia="仿宋_GB2312" w:cs="仿宋_GB2312"/>
          <w:color w:val="000000"/>
          <w:sz w:val="28"/>
          <w:szCs w:val="28"/>
          <w:lang w:val="en-US" w:eastAsia="zh-CN"/>
        </w:rPr>
        <w:t>创新创业大赛，2021年共获得奖项18个，其中，国家级奖励7个（含特/一等奖3个），省级奖励10个，市级优秀组织奖1个，陈晓梅、张筱娟、万群峰、杨佩泓等老师指导的学生团队在第七届OCALE全国跨境电商创新创业能力大赛获得特等奖2个、三等奖2个，王美霞、陆利军、王亚辉、胡强盛等老师指导的学生在第十一届全国大学生红色旅游创意策划大赛获得一等奖1个、二等奖1个，葛干忠老师指导的学生在第六届全国财经院校创新创业大赛获得三等奖1个。同时，学校积极组织学生参加创新创业训练计划项目的申报和立项，2021年，我校大学生创新创业训练计划项目共立项129项，其中，国家级20项、省级40项、校级69项，省级重点支持领域项目1个。创新创业训练计划项目共获得成果58项，其中，发表省级刊物论文43篇，国外刊物论文3篇，计算机软件著作权2个。</w:t>
      </w:r>
    </w:p>
    <w:bookmarkEnd w:id="186"/>
    <w:bookmarkEnd w:id="188"/>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olor w:val="00B0F0"/>
          <w:kern w:val="0"/>
          <w:sz w:val="32"/>
          <w:szCs w:val="32"/>
        </w:rPr>
      </w:pPr>
      <w:r>
        <w:rPr>
          <w:rFonts w:hint="eastAsia" w:ascii="黑体" w:hAnsi="黑体" w:eastAsia="黑体"/>
          <w:color w:val="00B0F0"/>
          <w:kern w:val="0"/>
          <w:sz w:val="32"/>
          <w:szCs w:val="32"/>
        </w:rPr>
        <w:br w:type="page"/>
      </w:r>
    </w:p>
    <w:p>
      <w:pPr>
        <w:pStyle w:val="3"/>
        <w:jc w:val="center"/>
        <w:outlineLvl w:val="0"/>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pPr>
      <w:bookmarkStart w:id="189" w:name="_Toc3933"/>
      <w:bookmarkStart w:id="190" w:name="_Toc14254"/>
      <w:bookmarkStart w:id="191" w:name="_Toc12291"/>
      <w:r>
        <w:rPr>
          <w:rFonts w:hint="eastAsia" w:ascii="黑体" w:hAnsi="黑体" w:eastAsia="黑体"/>
          <w:color w:val="00B0F0"/>
          <w:kern w:val="0"/>
          <w:sz w:val="30"/>
          <w:szCs w:val="30"/>
          <w14:textFill>
            <w14:gradFill>
              <w14:gsLst>
                <w14:gs w14:pos="0">
                  <w14:srgbClr w14:val="007BD3"/>
                </w14:gs>
                <w14:gs w14:pos="100000">
                  <w14:srgbClr w14:val="034373"/>
                </w14:gs>
              </w14:gsLst>
              <w14:lin w14:scaled="0"/>
            </w14:gradFill>
          </w14:textFill>
        </w:rPr>
        <w:t>第六部分 发展趋势与展望</w:t>
      </w:r>
      <w:bookmarkEnd w:id="165"/>
      <w:bookmarkEnd w:id="189"/>
      <w:bookmarkEnd w:id="190"/>
      <w:bookmarkEnd w:id="191"/>
      <w:bookmarkStart w:id="192" w:name="_Toc496819340"/>
      <w:bookmarkStart w:id="193" w:name="_Toc437501625"/>
      <w:bookmarkStart w:id="194" w:name="_Toc19002"/>
    </w:p>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195" w:name="_Toc19442"/>
      <w:bookmarkStart w:id="196" w:name="_Toc27366"/>
      <w:bookmarkStart w:id="197" w:name="_Toc27261"/>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6.1</w:t>
      </w:r>
      <w:bookmarkEnd w:id="192"/>
      <w:bookmarkEnd w:id="193"/>
      <w:bookmarkEnd w:id="194"/>
      <w:bookmarkStart w:id="198" w:name="_Toc28556"/>
      <w:bookmarkStart w:id="199" w:name="_Toc437501627"/>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签约单位性质、行业分布广，发展逐步多元化</w:t>
      </w:r>
      <w:bookmarkEnd w:id="195"/>
      <w:bookmarkEnd w:id="196"/>
      <w:bookmarkEnd w:id="197"/>
      <w:bookmarkEnd w:id="198"/>
    </w:p>
    <w:bookmarkEnd w:id="199"/>
    <w:p>
      <w:pPr>
        <w:ind w:firstLine="555"/>
        <w:rPr>
          <w:rFonts w:hint="eastAsia" w:ascii="仿宋_GB2312" w:eastAsia="仿宋_GB2312"/>
          <w:sz w:val="28"/>
          <w:szCs w:val="28"/>
          <w:lang w:val="en-US" w:eastAsia="zh-CN"/>
        </w:rPr>
      </w:pPr>
      <w:r>
        <w:rPr>
          <w:rFonts w:hint="eastAsia" w:ascii="仿宋_GB2312" w:eastAsia="仿宋_GB2312"/>
          <w:sz w:val="28"/>
          <w:szCs w:val="28"/>
        </w:rPr>
        <w:t>从近三年毕业生签约单位性质、行业分布变化趋势来看，我校</w:t>
      </w:r>
      <w:r>
        <w:rPr>
          <w:rFonts w:hint="eastAsia" w:ascii="仿宋_GB2312" w:eastAsia="仿宋_GB2312"/>
          <w:sz w:val="28"/>
          <w:szCs w:val="28"/>
          <w:lang w:eastAsia="zh-CN"/>
        </w:rPr>
        <w:t>毕业生由原来</w:t>
      </w:r>
      <w:r>
        <w:rPr>
          <w:rFonts w:hint="eastAsia" w:ascii="仿宋_GB2312" w:eastAsia="仿宋_GB2312"/>
          <w:sz w:val="28"/>
          <w:szCs w:val="28"/>
        </w:rPr>
        <w:t>主要集中在金融业</w:t>
      </w:r>
      <w:r>
        <w:rPr>
          <w:rFonts w:hint="eastAsia" w:ascii="仿宋_GB2312" w:eastAsia="仿宋_GB2312"/>
          <w:sz w:val="28"/>
          <w:szCs w:val="28"/>
          <w:lang w:eastAsia="zh-CN"/>
        </w:rPr>
        <w:t>、</w:t>
      </w:r>
      <w:r>
        <w:rPr>
          <w:rFonts w:hint="eastAsia" w:ascii="仿宋_GB2312" w:eastAsia="仿宋_GB2312"/>
          <w:sz w:val="28"/>
          <w:szCs w:val="28"/>
        </w:rPr>
        <w:t>上市公司、股份制企业</w:t>
      </w:r>
      <w:r>
        <w:rPr>
          <w:rFonts w:hint="eastAsia" w:ascii="仿宋_GB2312" w:eastAsia="仿宋_GB2312"/>
          <w:sz w:val="28"/>
          <w:szCs w:val="28"/>
          <w:lang w:eastAsia="zh-CN"/>
        </w:rPr>
        <w:t>和</w:t>
      </w:r>
      <w:r>
        <w:rPr>
          <w:rFonts w:hint="eastAsia" w:ascii="仿宋_GB2312" w:eastAsia="仿宋_GB2312"/>
          <w:sz w:val="28"/>
          <w:szCs w:val="28"/>
        </w:rPr>
        <w:t>大中型国有企业就业，</w:t>
      </w:r>
      <w:r>
        <w:rPr>
          <w:rFonts w:hint="eastAsia" w:ascii="仿宋_GB2312" w:eastAsia="仿宋_GB2312"/>
          <w:sz w:val="28"/>
          <w:szCs w:val="28"/>
          <w:lang w:eastAsia="zh-CN"/>
        </w:rPr>
        <w:t>逐步转向到</w:t>
      </w:r>
      <w:r>
        <w:rPr>
          <w:rFonts w:hint="eastAsia" w:ascii="仿宋_GB2312" w:eastAsia="仿宋_GB2312" w:cs="螳倶ｽ"/>
          <w:color w:val="000000"/>
          <w:kern w:val="0"/>
          <w:sz w:val="28"/>
          <w:szCs w:val="28"/>
        </w:rPr>
        <w:t>民营企业、</w:t>
      </w:r>
      <w:r>
        <w:rPr>
          <w:rFonts w:hint="eastAsia" w:ascii="仿宋_GB2312" w:hAnsi="MS Mincho" w:eastAsia="仿宋_GB2312" w:cs="MS Mincho"/>
          <w:color w:val="000000"/>
          <w:kern w:val="0"/>
          <w:sz w:val="28"/>
          <w:szCs w:val="28"/>
        </w:rPr>
        <w:t>事</w:t>
      </w:r>
      <w:r>
        <w:rPr>
          <w:rFonts w:hint="eastAsia" w:ascii="仿宋_GB2312" w:hAnsi="宋体" w:eastAsia="仿宋_GB2312" w:cs="宋体"/>
          <w:color w:val="000000"/>
          <w:kern w:val="0"/>
          <w:sz w:val="28"/>
          <w:szCs w:val="28"/>
        </w:rPr>
        <w:t>务</w:t>
      </w:r>
      <w:r>
        <w:rPr>
          <w:rFonts w:hint="eastAsia" w:ascii="仿宋_GB2312" w:hAnsi="MS Mincho" w:eastAsia="仿宋_GB2312" w:cs="MS Mincho"/>
          <w:color w:val="000000"/>
          <w:kern w:val="0"/>
          <w:sz w:val="28"/>
          <w:szCs w:val="28"/>
        </w:rPr>
        <w:t>所、高新技</w:t>
      </w:r>
      <w:r>
        <w:rPr>
          <w:rFonts w:hint="eastAsia" w:ascii="仿宋_GB2312" w:hAnsi="宋体" w:eastAsia="仿宋_GB2312" w:cs="宋体"/>
          <w:color w:val="000000"/>
          <w:kern w:val="0"/>
          <w:sz w:val="28"/>
          <w:szCs w:val="28"/>
        </w:rPr>
        <w:t>术</w:t>
      </w:r>
      <w:r>
        <w:rPr>
          <w:rFonts w:hint="eastAsia" w:ascii="仿宋_GB2312" w:hAnsi="MS Mincho" w:eastAsia="仿宋_GB2312" w:cs="MS Mincho"/>
          <w:color w:val="000000"/>
          <w:kern w:val="0"/>
          <w:sz w:val="28"/>
          <w:szCs w:val="28"/>
        </w:rPr>
        <w:t>企</w:t>
      </w:r>
      <w:r>
        <w:rPr>
          <w:rFonts w:hint="eastAsia" w:ascii="仿宋_GB2312" w:hAnsi="宋体" w:eastAsia="仿宋_GB2312" w:cs="宋体"/>
          <w:color w:val="000000"/>
          <w:kern w:val="0"/>
          <w:sz w:val="28"/>
          <w:szCs w:val="28"/>
        </w:rPr>
        <w:t>业</w:t>
      </w:r>
      <w:r>
        <w:rPr>
          <w:rFonts w:hint="eastAsia" w:ascii="仿宋_GB2312" w:hAnsi="MS Mincho" w:eastAsia="仿宋_GB2312" w:cs="MS Mincho"/>
          <w:color w:val="000000"/>
          <w:kern w:val="0"/>
          <w:sz w:val="28"/>
          <w:szCs w:val="28"/>
        </w:rPr>
        <w:t>、制造业、</w:t>
      </w:r>
      <w:r>
        <w:rPr>
          <w:rFonts w:hint="eastAsia" w:ascii="仿宋_GB2312" w:eastAsia="仿宋_GB2312"/>
          <w:sz w:val="28"/>
          <w:szCs w:val="28"/>
        </w:rPr>
        <w:t>教育培训机构、社会</w:t>
      </w:r>
      <w:r>
        <w:rPr>
          <w:rFonts w:hint="eastAsia" w:ascii="仿宋_GB2312" w:hAnsi="MS Mincho" w:eastAsia="仿宋_GB2312" w:cs="MS Mincho"/>
          <w:color w:val="000000"/>
          <w:kern w:val="0"/>
          <w:sz w:val="28"/>
          <w:szCs w:val="28"/>
        </w:rPr>
        <w:t>服务性行业和文化</w:t>
      </w:r>
      <w:r>
        <w:rPr>
          <w:rFonts w:hint="eastAsia" w:ascii="仿宋_GB2312" w:hAnsi="宋体" w:eastAsia="仿宋_GB2312" w:cs="宋体"/>
          <w:color w:val="000000"/>
          <w:kern w:val="0"/>
          <w:sz w:val="28"/>
          <w:szCs w:val="28"/>
        </w:rPr>
        <w:t>创</w:t>
      </w:r>
      <w:r>
        <w:rPr>
          <w:rFonts w:hint="eastAsia" w:ascii="仿宋_GB2312" w:hAnsi="MS Mincho" w:eastAsia="仿宋_GB2312" w:cs="MS Mincho"/>
          <w:color w:val="000000"/>
          <w:kern w:val="0"/>
          <w:sz w:val="28"/>
          <w:szCs w:val="28"/>
        </w:rPr>
        <w:t>意等中小微企业</w:t>
      </w:r>
      <w:r>
        <w:rPr>
          <w:rFonts w:hint="eastAsia" w:ascii="仿宋_GB2312" w:eastAsia="仿宋_GB2312"/>
          <w:sz w:val="28"/>
          <w:szCs w:val="28"/>
        </w:rPr>
        <w:t>就业，</w:t>
      </w:r>
      <w:r>
        <w:rPr>
          <w:rFonts w:hint="eastAsia" w:ascii="仿宋_GB2312" w:hAnsi="仿宋_GB2312" w:eastAsia="仿宋_GB2312" w:cs="仿宋_GB2312"/>
          <w:b w:val="0"/>
          <w:bCs/>
          <w:color w:val="000000" w:themeColor="text1"/>
          <w:sz w:val="28"/>
          <w:szCs w:val="28"/>
          <w:lang w:eastAsia="zh-CN"/>
          <w14:textFill>
            <w14:solidFill>
              <w14:schemeClr w14:val="tx1"/>
            </w14:solidFill>
          </w14:textFill>
        </w:rPr>
        <w:t>签约单位性质和行业越来越</w:t>
      </w:r>
      <w:r>
        <w:rPr>
          <w:rFonts w:hint="eastAsia" w:ascii="仿宋_GB2312" w:hAnsi="宋体" w:eastAsia="仿宋_GB2312" w:cs="宋体"/>
          <w:color w:val="000000"/>
          <w:kern w:val="0"/>
          <w:sz w:val="28"/>
          <w:szCs w:val="28"/>
        </w:rPr>
        <w:t>多元化</w:t>
      </w:r>
      <w:r>
        <w:rPr>
          <w:rFonts w:hint="eastAsia" w:ascii="仿宋_GB2312" w:hAnsi="宋体" w:eastAsia="仿宋_GB2312" w:cs="宋体"/>
          <w:kern w:val="0"/>
          <w:sz w:val="28"/>
          <w:szCs w:val="28"/>
        </w:rPr>
        <w:t>。</w:t>
      </w:r>
      <w:r>
        <w:rPr>
          <w:rFonts w:hint="eastAsia" w:ascii="仿宋_GB2312" w:eastAsia="仿宋_GB2312"/>
          <w:color w:val="000000"/>
          <w:sz w:val="28"/>
          <w:szCs w:val="28"/>
        </w:rPr>
        <w:t>具体情况</w:t>
      </w:r>
      <w:r>
        <w:rPr>
          <w:rFonts w:hint="eastAsia" w:ascii="仿宋_GB2312" w:eastAsia="仿宋_GB2312"/>
          <w:sz w:val="28"/>
          <w:szCs w:val="28"/>
        </w:rPr>
        <w:t>详见图</w:t>
      </w:r>
      <w:r>
        <w:rPr>
          <w:rFonts w:ascii="仿宋_GB2312" w:eastAsia="仿宋_GB2312"/>
          <w:sz w:val="28"/>
          <w:szCs w:val="28"/>
        </w:rPr>
        <w:t>6-</w:t>
      </w:r>
      <w:r>
        <w:rPr>
          <w:rFonts w:hint="eastAsia" w:ascii="仿宋_GB2312" w:eastAsia="仿宋_GB2312"/>
          <w:sz w:val="28"/>
          <w:szCs w:val="28"/>
          <w:lang w:val="en-US" w:eastAsia="zh-CN"/>
        </w:rPr>
        <w:t>1</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图6-</w:t>
      </w:r>
      <w:r>
        <w:rPr>
          <w:rFonts w:hint="eastAsia" w:ascii="仿宋_GB2312" w:hAnsi="仿宋_GB2312" w:eastAsia="仿宋_GB2312" w:cs="仿宋_GB2312"/>
          <w:b/>
          <w:sz w:val="28"/>
          <w:szCs w:val="28"/>
          <w:lang w:val="en-US" w:eastAsia="zh-CN"/>
        </w:rPr>
        <w:t xml:space="preserve">1  </w:t>
      </w:r>
      <w:r>
        <w:rPr>
          <w:rFonts w:hint="eastAsia" w:ascii="仿宋_GB2312" w:hAnsi="仿宋_GB2312" w:eastAsia="仿宋_GB2312" w:cs="仿宋_GB2312"/>
          <w:b/>
          <w:sz w:val="28"/>
          <w:szCs w:val="28"/>
        </w:rPr>
        <w:t>20</w:t>
      </w:r>
      <w:r>
        <w:rPr>
          <w:rFonts w:hint="eastAsia" w:ascii="仿宋_GB2312" w:hAnsi="仿宋_GB2312" w:eastAsia="仿宋_GB2312" w:cs="仿宋_GB2312"/>
          <w:b/>
          <w:sz w:val="28"/>
          <w:szCs w:val="28"/>
          <w:lang w:val="en-US" w:eastAsia="zh-CN"/>
        </w:rPr>
        <w:t>21</w:t>
      </w:r>
      <w:r>
        <w:rPr>
          <w:rFonts w:hint="eastAsia" w:ascii="仿宋_GB2312" w:hAnsi="仿宋_GB2312" w:eastAsia="仿宋_GB2312" w:cs="仿宋_GB2312"/>
          <w:b/>
          <w:sz w:val="28"/>
          <w:szCs w:val="28"/>
        </w:rPr>
        <w:t>届毕业生就业单位行业分布图</w:t>
      </w:r>
    </w:p>
    <w:p>
      <w:pPr>
        <w:pStyle w:val="2"/>
        <w:ind w:left="0" w:leftChars="0" w:firstLine="0" w:firstLineChars="0"/>
        <w:rPr>
          <w:rFonts w:hint="eastAsia"/>
        </w:rPr>
      </w:pPr>
      <w:r>
        <w:drawing>
          <wp:inline distT="0" distB="0" distL="114300" distR="114300">
            <wp:extent cx="5476875" cy="2943860"/>
            <wp:effectExtent l="0" t="0" r="952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5476875" cy="2943860"/>
                    </a:xfrm>
                    <a:prstGeom prst="rect">
                      <a:avLst/>
                    </a:prstGeom>
                    <a:noFill/>
                    <a:ln>
                      <a:noFill/>
                    </a:ln>
                  </pic:spPr>
                </pic:pic>
              </a:graphicData>
            </a:graphic>
          </wp:inline>
        </w:drawing>
      </w:r>
    </w:p>
    <w:p>
      <w:pPr>
        <w:pStyle w:val="94"/>
        <w:ind w:firstLine="0" w:firstLineChars="0"/>
        <w:outlineLvl w:val="1"/>
        <w:rPr>
          <w:rFonts w:hint="eastAsia" w:ascii="仿宋_GB2312" w:hAnsi="仿宋_GB2312" w:eastAsia="仿宋_GB2312" w:cs="仿宋_GB2312"/>
          <w:b/>
          <w:color w:val="00B0F0"/>
          <w:sz w:val="28"/>
          <w:szCs w:val="28"/>
          <w:lang w:eastAsia="zh-CN"/>
        </w:rPr>
      </w:pPr>
      <w:bookmarkStart w:id="200" w:name="_Toc20502"/>
      <w:bookmarkStart w:id="201" w:name="_Toc21658"/>
      <w:bookmarkStart w:id="202" w:name="_Toc24920"/>
      <w:bookmarkStart w:id="203" w:name="_Toc7694"/>
      <w:bookmarkStart w:id="204" w:name="_Toc437501618"/>
      <w:bookmarkStart w:id="205" w:name="_Toc437032039"/>
      <w:bookmarkStart w:id="206" w:name="_Toc437501616"/>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6.</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2 </w:t>
      </w:r>
      <w:r>
        <w:rPr>
          <w:rFonts w:hint="eastAsia" w:ascii="仿宋_GB2312" w:hAnsi="仿宋_GB2312" w:eastAsia="仿宋_GB2312" w:cs="仿宋_GB2312"/>
          <w:b/>
          <w:bCs w:val="0"/>
          <w:color w:val="00B0F0"/>
          <w:sz w:val="28"/>
          <w:szCs w:val="28"/>
          <w:lang w:eastAsia="zh-CN"/>
          <w14:textFill>
            <w14:gradFill>
              <w14:gsLst>
                <w14:gs w14:pos="0">
                  <w14:srgbClr w14:val="007BD3"/>
                </w14:gs>
                <w14:gs w14:pos="100000">
                  <w14:srgbClr w14:val="034373"/>
                </w14:gs>
              </w14:gsLst>
              <w14:lin w14:scaled="0"/>
            </w14:gradFill>
          </w14:textFill>
        </w:rPr>
        <w:t>就业地区</w:t>
      </w:r>
      <w:r>
        <w:rPr>
          <w:rFonts w:hint="eastAsia" w:ascii="仿宋_GB2312" w:eastAsia="仿宋_GB2312"/>
          <w:b/>
          <w:bCs w:val="0"/>
          <w:color w:val="00B0F0"/>
          <w:sz w:val="28"/>
          <w:szCs w:val="28"/>
          <w14:textFill>
            <w14:gradFill>
              <w14:gsLst>
                <w14:gs w14:pos="0">
                  <w14:srgbClr w14:val="007BD3"/>
                </w14:gs>
                <w14:gs w14:pos="100000">
                  <w14:srgbClr w14:val="034373"/>
                </w14:gs>
              </w14:gsLst>
              <w14:lin w14:scaled="0"/>
            </w14:gradFill>
          </w14:textFill>
        </w:rPr>
        <w:t>覆盖</w:t>
      </w:r>
      <w:r>
        <w:rPr>
          <w:rFonts w:hint="eastAsia" w:ascii="仿宋_GB2312" w:hAnsi="仿宋_GB2312" w:eastAsia="仿宋_GB2312" w:cs="仿宋_GB2312"/>
          <w:b/>
          <w:bCs w:val="0"/>
          <w:color w:val="00B0F0"/>
          <w:sz w:val="28"/>
          <w:szCs w:val="28"/>
          <w:lang w:eastAsia="zh-CN"/>
          <w14:textFill>
            <w14:gradFill>
              <w14:gsLst>
                <w14:gs w14:pos="0">
                  <w14:srgbClr w14:val="007BD3"/>
                </w14:gs>
                <w14:gs w14:pos="100000">
                  <w14:srgbClr w14:val="034373"/>
                </w14:gs>
              </w14:gsLst>
              <w14:lin w14:scaled="0"/>
            </w14:gradFill>
          </w14:textFill>
        </w:rPr>
        <w:t>宽，</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地域分布日趋广泛</w:t>
      </w:r>
      <w:bookmarkEnd w:id="200"/>
      <w:bookmarkEnd w:id="201"/>
      <w:bookmarkEnd w:id="202"/>
      <w:bookmarkEnd w:id="203"/>
    </w:p>
    <w:p>
      <w:pPr>
        <w:pStyle w:val="117"/>
        <w:ind w:firstLine="560" w:firstLineChars="200"/>
        <w:rPr>
          <w:rFonts w:ascii="仿宋_GB2312" w:eastAsia="仿宋_GB2312"/>
          <w:color w:val="000000"/>
          <w:sz w:val="28"/>
          <w:szCs w:val="28"/>
        </w:rPr>
      </w:pPr>
      <w:r>
        <w:rPr>
          <w:rFonts w:hint="eastAsia" w:ascii="仿宋_GB2312" w:eastAsia="仿宋_GB2312"/>
          <w:color w:val="000000"/>
          <w:sz w:val="28"/>
          <w:szCs w:val="28"/>
        </w:rPr>
        <w:t>从我校</w:t>
      </w:r>
      <w:r>
        <w:rPr>
          <w:rFonts w:ascii="仿宋_GB2312" w:eastAsia="仿宋_GB2312"/>
          <w:color w:val="000000"/>
          <w:sz w:val="28"/>
          <w:szCs w:val="28"/>
        </w:rPr>
        <w:t>20</w:t>
      </w:r>
      <w:r>
        <w:rPr>
          <w:rFonts w:hint="eastAsia" w:ascii="仿宋_GB2312" w:eastAsia="仿宋_GB2312"/>
          <w:color w:val="000000"/>
          <w:sz w:val="28"/>
          <w:szCs w:val="28"/>
          <w:lang w:val="en-US" w:eastAsia="zh-CN"/>
        </w:rPr>
        <w:t>21</w:t>
      </w:r>
      <w:r>
        <w:rPr>
          <w:rFonts w:hint="eastAsia" w:ascii="仿宋_GB2312" w:eastAsia="仿宋_GB2312"/>
          <w:color w:val="000000"/>
          <w:sz w:val="28"/>
          <w:szCs w:val="28"/>
        </w:rPr>
        <w:t>届毕业生就业地域流向分布来看，毕业生就业地区覆盖全国</w:t>
      </w:r>
      <w:r>
        <w:rPr>
          <w:rFonts w:hint="eastAsia" w:ascii="仿宋_GB2312" w:eastAsia="仿宋_GB2312"/>
          <w:color w:val="000000"/>
          <w:sz w:val="28"/>
          <w:szCs w:val="28"/>
          <w:lang w:val="en-US" w:eastAsia="zh-CN"/>
        </w:rPr>
        <w:t>33</w:t>
      </w:r>
      <w:r>
        <w:rPr>
          <w:rFonts w:hint="eastAsia" w:ascii="仿宋_GB2312" w:eastAsia="仿宋_GB2312"/>
          <w:color w:val="000000"/>
          <w:sz w:val="28"/>
          <w:szCs w:val="28"/>
        </w:rPr>
        <w:t>个省市、自治区，由原来的相对集中</w:t>
      </w:r>
      <w:bookmarkEnd w:id="204"/>
      <w:r>
        <w:rPr>
          <w:rFonts w:hint="eastAsia" w:ascii="仿宋_GB2312" w:eastAsia="仿宋_GB2312"/>
          <w:color w:val="000000"/>
          <w:sz w:val="28"/>
          <w:szCs w:val="28"/>
        </w:rPr>
        <w:t>在湖南地区，逐步</w:t>
      </w:r>
      <w:r>
        <w:rPr>
          <w:rFonts w:hint="eastAsia" w:ascii="仿宋_GB2312" w:hAnsi="宋体" w:eastAsia="仿宋_GB2312"/>
          <w:color w:val="000000"/>
          <w:sz w:val="28"/>
          <w:szCs w:val="28"/>
        </w:rPr>
        <w:t>形成了以长株潭地区为中心，向珠三角、长三角等沿海地区及中西部地区辐射的就业格局。</w:t>
      </w:r>
      <w:r>
        <w:rPr>
          <w:rFonts w:hint="eastAsia" w:ascii="仿宋_GB2312" w:eastAsia="仿宋_GB2312"/>
          <w:color w:val="000000"/>
          <w:sz w:val="28"/>
          <w:szCs w:val="28"/>
        </w:rPr>
        <w:t>这主要与生源结构和区域经济发展水平紧密相关，也进一步体现了我校立足湖南，服务全国的定位，具体情况详见图</w:t>
      </w:r>
      <w:r>
        <w:rPr>
          <w:rFonts w:ascii="仿宋_GB2312" w:eastAsia="仿宋_GB2312"/>
          <w:color w:val="000000"/>
          <w:sz w:val="28"/>
          <w:szCs w:val="28"/>
        </w:rPr>
        <w:t>6-</w:t>
      </w:r>
      <w:r>
        <w:rPr>
          <w:rFonts w:hint="eastAsia" w:ascii="仿宋_GB2312" w:eastAsia="仿宋_GB2312"/>
          <w:color w:val="000000"/>
          <w:sz w:val="28"/>
          <w:szCs w:val="28"/>
          <w:lang w:val="en-US" w:eastAsia="zh-CN"/>
        </w:rPr>
        <w:t>2</w:t>
      </w:r>
      <w:r>
        <w:rPr>
          <w:rFonts w:hint="eastAsia" w:ascii="仿宋_GB2312" w:eastAsia="仿宋_GB2312"/>
          <w:color w:val="000000"/>
          <w:sz w:val="28"/>
          <w:szCs w:val="28"/>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图6-</w:t>
      </w:r>
      <w:r>
        <w:rPr>
          <w:rFonts w:hint="eastAsia" w:ascii="仿宋_GB2312" w:hAnsi="仿宋_GB2312" w:eastAsia="仿宋_GB2312" w:cs="仿宋_GB2312"/>
          <w:b/>
          <w:sz w:val="28"/>
          <w:szCs w:val="28"/>
          <w:lang w:val="en-US" w:eastAsia="zh-CN"/>
        </w:rPr>
        <w:t>2  2021届</w:t>
      </w:r>
      <w:r>
        <w:rPr>
          <w:rFonts w:hint="eastAsia" w:ascii="仿宋_GB2312" w:hAnsi="仿宋_GB2312" w:eastAsia="仿宋_GB2312" w:cs="仿宋_GB2312"/>
          <w:b/>
          <w:sz w:val="28"/>
          <w:szCs w:val="28"/>
        </w:rPr>
        <w:t>毕业生就业单位地区人数分布图</w:t>
      </w:r>
    </w:p>
    <w:p>
      <w:pPr>
        <w:pStyle w:val="2"/>
        <w:ind w:left="0" w:leftChars="0" w:firstLine="0" w:firstLineChars="0"/>
        <w:rPr>
          <w:rFonts w:ascii="仿宋_GB2312" w:hAnsi="宋体" w:eastAsia="仿宋_GB2312" w:cs="宋体"/>
          <w:b/>
          <w:color w:val="0070C0"/>
          <w:kern w:val="0"/>
          <w:sz w:val="28"/>
          <w:szCs w:val="28"/>
        </w:rPr>
      </w:pPr>
      <w:r>
        <w:drawing>
          <wp:inline distT="0" distB="0" distL="114300" distR="114300">
            <wp:extent cx="5322570" cy="2767330"/>
            <wp:effectExtent l="0" t="0" r="11430"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5"/>
                    <a:stretch>
                      <a:fillRect/>
                    </a:stretch>
                  </pic:blipFill>
                  <pic:spPr>
                    <a:xfrm>
                      <a:off x="0" y="0"/>
                      <a:ext cx="5322570" cy="2767330"/>
                    </a:xfrm>
                    <a:prstGeom prst="rect">
                      <a:avLst/>
                    </a:prstGeom>
                    <a:noFill/>
                    <a:ln>
                      <a:noFill/>
                    </a:ln>
                  </pic:spPr>
                </pic:pic>
              </a:graphicData>
            </a:graphic>
          </wp:inline>
        </w:drawing>
      </w:r>
      <w:bookmarkStart w:id="207" w:name="_Toc2045"/>
    </w:p>
    <w:p>
      <w:pPr>
        <w:pStyle w:val="94"/>
        <w:ind w:firstLine="0" w:firstLineChars="0"/>
        <w:outlineLvl w:val="1"/>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pPr>
      <w:bookmarkStart w:id="208" w:name="_Toc25508"/>
      <w:bookmarkStart w:id="209" w:name="_Toc29748"/>
      <w:bookmarkStart w:id="210" w:name="_Toc32078"/>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6.</w:t>
      </w:r>
      <w:r>
        <w:rPr>
          <w:rFonts w:hint="eastAsia" w:ascii="仿宋_GB2312" w:hAnsi="仿宋_GB2312" w:eastAsia="仿宋_GB2312" w:cs="仿宋_GB2312"/>
          <w:b/>
          <w:color w:val="00B0F0"/>
          <w:sz w:val="28"/>
          <w:szCs w:val="28"/>
          <w:lang w:val="en-US" w:eastAsia="zh-CN"/>
          <w14:textFill>
            <w14:gradFill>
              <w14:gsLst>
                <w14:gs w14:pos="0">
                  <w14:srgbClr w14:val="007BD3"/>
                </w14:gs>
                <w14:gs w14:pos="100000">
                  <w14:srgbClr w14:val="034373"/>
                </w14:gs>
              </w14:gsLst>
              <w14:lin w14:scaled="0"/>
            </w14:gradFill>
          </w14:textFill>
        </w:rPr>
        <w:t xml:space="preserve">3 </w:t>
      </w:r>
      <w:r>
        <w:rPr>
          <w:rFonts w:hint="eastAsia" w:ascii="仿宋_GB2312" w:hAnsi="仿宋_GB2312" w:eastAsia="仿宋_GB2312" w:cs="仿宋_GB2312"/>
          <w:b/>
          <w:color w:val="00B0F0"/>
          <w:sz w:val="28"/>
          <w:szCs w:val="28"/>
          <w:lang w:eastAsia="zh-CN"/>
          <w14:textFill>
            <w14:gradFill>
              <w14:gsLst>
                <w14:gs w14:pos="0">
                  <w14:srgbClr w14:val="007BD3"/>
                </w14:gs>
                <w14:gs w14:pos="100000">
                  <w14:srgbClr w14:val="034373"/>
                </w14:gs>
              </w14:gsLst>
              <w14:lin w14:scaled="0"/>
            </w14:gradFill>
          </w14:textFill>
        </w:rPr>
        <w:t>升学人数逐年增多，升入高校质量持续提升</w:t>
      </w:r>
      <w:bookmarkEnd w:id="207"/>
      <w:bookmarkEnd w:id="208"/>
      <w:bookmarkEnd w:id="209"/>
      <w:bookmarkEnd w:id="210"/>
    </w:p>
    <w:p>
      <w:pPr>
        <w:pStyle w:val="117"/>
        <w:ind w:firstLine="560" w:firstLineChars="200"/>
        <w:rPr>
          <w:rFonts w:ascii="仿宋_GB2312" w:eastAsia="仿宋_GB2312"/>
          <w:color w:val="000000"/>
          <w:sz w:val="28"/>
          <w:szCs w:val="28"/>
        </w:rPr>
      </w:pPr>
      <w:bookmarkStart w:id="211" w:name="_Toc437501626"/>
      <w:bookmarkStart w:id="212" w:name="_Toc437274202"/>
      <w:bookmarkStart w:id="213" w:name="_Toc28255"/>
      <w:bookmarkStart w:id="214" w:name="_Toc22501"/>
      <w:r>
        <w:rPr>
          <w:rFonts w:hint="eastAsia" w:ascii="仿宋_GB2312" w:eastAsia="仿宋_GB2312" w:hAnsiTheme="minorEastAsia"/>
          <w:sz w:val="28"/>
          <w:szCs w:val="28"/>
        </w:rPr>
        <w:t>近年来，我校毕业生继续深造总人数和继续深造比例逐年增加，从我校毕业生继续深造去向可以看出，毕业生出国</w:t>
      </w:r>
      <w:r>
        <w:rPr>
          <w:rFonts w:hint="eastAsia" w:ascii="仿宋_GB2312" w:eastAsia="仿宋_GB2312" w:hAnsiTheme="minorEastAsia"/>
          <w:sz w:val="28"/>
          <w:szCs w:val="28"/>
          <w:lang w:eastAsia="zh-CN"/>
        </w:rPr>
        <w:t>（</w:t>
      </w:r>
      <w:r>
        <w:rPr>
          <w:rFonts w:hint="eastAsia" w:ascii="仿宋_GB2312" w:eastAsia="仿宋_GB2312" w:hAnsiTheme="minorEastAsia"/>
          <w:sz w:val="28"/>
          <w:szCs w:val="28"/>
        </w:rPr>
        <w:t>境</w:t>
      </w:r>
      <w:r>
        <w:rPr>
          <w:rFonts w:hint="eastAsia" w:ascii="仿宋_GB2312" w:eastAsia="仿宋_GB2312" w:hAnsiTheme="minorEastAsia"/>
          <w:sz w:val="28"/>
          <w:szCs w:val="28"/>
          <w:lang w:eastAsia="zh-CN"/>
        </w:rPr>
        <w:t>）</w:t>
      </w:r>
      <w:r>
        <w:rPr>
          <w:rFonts w:hint="eastAsia" w:ascii="仿宋_GB2312" w:eastAsia="仿宋_GB2312" w:hAnsiTheme="minorEastAsia"/>
          <w:sz w:val="28"/>
          <w:szCs w:val="28"/>
        </w:rPr>
        <w:t>去向主要包括英国、</w:t>
      </w:r>
      <w:r>
        <w:rPr>
          <w:rFonts w:hint="eastAsia" w:ascii="仿宋_GB2312" w:eastAsia="仿宋_GB2312" w:hAnsiTheme="minorEastAsia"/>
          <w:sz w:val="28"/>
          <w:szCs w:val="28"/>
          <w:lang w:eastAsia="zh-CN"/>
        </w:rPr>
        <w:t>法国、澳大利亚、</w:t>
      </w:r>
      <w:r>
        <w:rPr>
          <w:rFonts w:hint="eastAsia" w:ascii="仿宋_GB2312" w:eastAsia="仿宋_GB2312" w:hAnsiTheme="minorEastAsia"/>
          <w:sz w:val="28"/>
          <w:szCs w:val="28"/>
        </w:rPr>
        <w:t>韩国</w:t>
      </w:r>
      <w:r>
        <w:rPr>
          <w:rFonts w:hint="eastAsia" w:ascii="仿宋_GB2312" w:eastAsia="仿宋_GB2312" w:hAnsiTheme="minorEastAsia"/>
          <w:sz w:val="28"/>
          <w:szCs w:val="28"/>
          <w:lang w:eastAsia="zh-CN"/>
        </w:rPr>
        <w:t>和日本</w:t>
      </w:r>
      <w:r>
        <w:rPr>
          <w:rFonts w:hint="eastAsia" w:ascii="仿宋_GB2312" w:eastAsia="仿宋_GB2312" w:hAnsiTheme="minorEastAsia"/>
          <w:sz w:val="28"/>
          <w:szCs w:val="28"/>
        </w:rPr>
        <w:t>等国家和地区</w:t>
      </w:r>
      <w:r>
        <w:rPr>
          <w:rFonts w:hint="eastAsia" w:ascii="仿宋_GB2312" w:eastAsia="仿宋_GB2312" w:hAnsiTheme="minorEastAsia"/>
          <w:sz w:val="28"/>
          <w:szCs w:val="28"/>
          <w:lang w:eastAsia="zh-CN"/>
        </w:rPr>
        <w:t>，</w:t>
      </w:r>
      <w:r>
        <w:rPr>
          <w:rFonts w:hint="eastAsia" w:ascii="仿宋_GB2312" w:eastAsia="仿宋_GB2312" w:hAnsiTheme="minorEastAsia"/>
          <w:sz w:val="28"/>
          <w:szCs w:val="28"/>
        </w:rPr>
        <w:t>升</w:t>
      </w:r>
      <w:r>
        <w:rPr>
          <w:rFonts w:hint="eastAsia" w:ascii="仿宋_GB2312" w:eastAsia="仿宋_GB2312" w:hAnsiTheme="minorEastAsia"/>
          <w:sz w:val="28"/>
          <w:szCs w:val="28"/>
          <w:lang w:eastAsia="zh-CN"/>
        </w:rPr>
        <w:t>入</w:t>
      </w:r>
      <w:r>
        <w:rPr>
          <w:rFonts w:hint="eastAsia" w:ascii="仿宋_GB2312" w:eastAsia="仿宋_GB2312" w:hAnsiTheme="minorEastAsia"/>
          <w:sz w:val="28"/>
          <w:szCs w:val="28"/>
        </w:rPr>
        <w:t>高校质量也稳步提升。</w:t>
      </w:r>
      <w:bookmarkEnd w:id="211"/>
      <w:bookmarkEnd w:id="212"/>
      <w:r>
        <w:rPr>
          <w:rFonts w:hint="eastAsia" w:ascii="仿宋_GB2312" w:eastAsia="仿宋_GB2312"/>
          <w:color w:val="000000"/>
          <w:sz w:val="28"/>
          <w:szCs w:val="28"/>
        </w:rPr>
        <w:t>具体情况详见图</w:t>
      </w:r>
      <w:r>
        <w:rPr>
          <w:rFonts w:ascii="仿宋_GB2312" w:eastAsia="仿宋_GB2312"/>
          <w:color w:val="000000"/>
          <w:sz w:val="28"/>
          <w:szCs w:val="28"/>
        </w:rPr>
        <w:t>6-</w:t>
      </w:r>
      <w:r>
        <w:rPr>
          <w:rFonts w:hint="eastAsia" w:ascii="仿宋_GB2312" w:eastAsia="仿宋_GB2312"/>
          <w:color w:val="000000"/>
          <w:sz w:val="28"/>
          <w:szCs w:val="28"/>
          <w:lang w:val="en-US" w:eastAsia="zh-CN"/>
        </w:rPr>
        <w:t>3</w:t>
      </w:r>
      <w:r>
        <w:rPr>
          <w:rFonts w:hint="eastAsia" w:ascii="仿宋_GB2312" w:eastAsia="仿宋_GB2312"/>
          <w:color w:val="000000"/>
          <w:sz w:val="28"/>
          <w:szCs w:val="28"/>
        </w:rPr>
        <w:t>。</w:t>
      </w:r>
    </w:p>
    <w:p>
      <w:pPr>
        <w:ind w:firstLine="1827" w:firstLineChars="650"/>
        <w:rPr>
          <w:rFonts w:hint="eastAsia" w:ascii="仿宋_GB2312" w:eastAsia="仿宋_GB2312" w:cs="黑体"/>
          <w:b/>
          <w:kern w:val="0"/>
          <w:sz w:val="28"/>
          <w:szCs w:val="28"/>
        </w:rPr>
      </w:pPr>
      <w:r>
        <w:rPr>
          <w:rFonts w:hint="eastAsia" w:ascii="仿宋_GB2312" w:eastAsia="仿宋_GB2312" w:cs="黑体"/>
          <w:b/>
          <w:kern w:val="0"/>
          <w:sz w:val="28"/>
          <w:szCs w:val="28"/>
        </w:rPr>
        <w:br w:type="page"/>
      </w:r>
      <w:bookmarkStart w:id="215" w:name="_GoBack"/>
      <w:bookmarkEnd w:id="215"/>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图6-</w:t>
      </w:r>
      <w:r>
        <w:rPr>
          <w:rFonts w:hint="eastAsia" w:ascii="仿宋_GB2312" w:hAnsi="仿宋_GB2312" w:eastAsia="仿宋_GB2312" w:cs="仿宋_GB2312"/>
          <w:b/>
          <w:sz w:val="28"/>
          <w:szCs w:val="28"/>
          <w:lang w:val="en-US" w:eastAsia="zh-CN"/>
        </w:rPr>
        <w:t>3</w:t>
      </w:r>
      <w:r>
        <w:rPr>
          <w:rFonts w:hint="eastAsia" w:ascii="仿宋_GB2312" w:hAnsi="仿宋_GB2312" w:eastAsia="仿宋_GB2312" w:cs="仿宋_GB2312"/>
          <w:b/>
          <w:sz w:val="28"/>
          <w:szCs w:val="28"/>
        </w:rPr>
        <w:t xml:space="preserve">  近三年毕业生升学比例对比图</w:t>
      </w:r>
    </w:p>
    <w:p>
      <w:pPr>
        <w:pStyle w:val="2"/>
      </w:pPr>
      <w:r>
        <w:drawing>
          <wp:inline distT="0" distB="0" distL="114300" distR="114300">
            <wp:extent cx="5191125" cy="2767330"/>
            <wp:effectExtent l="0" t="0" r="9525" b="139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6"/>
                    <a:stretch>
                      <a:fillRect/>
                    </a:stretch>
                  </pic:blipFill>
                  <pic:spPr>
                    <a:xfrm>
                      <a:off x="0" y="0"/>
                      <a:ext cx="5191125" cy="2767330"/>
                    </a:xfrm>
                    <a:prstGeom prst="rect">
                      <a:avLst/>
                    </a:prstGeom>
                    <a:noFill/>
                    <a:ln>
                      <a:noFill/>
                    </a:ln>
                  </pic:spPr>
                </pic:pic>
              </a:graphicData>
            </a:graphic>
          </wp:inline>
        </w:drawing>
      </w:r>
    </w:p>
    <w:bookmarkEnd w:id="205"/>
    <w:bookmarkEnd w:id="206"/>
    <w:bookmarkEnd w:id="213"/>
    <w:bookmarkEnd w:id="214"/>
    <w:p>
      <w:pPr>
        <w:rPr>
          <w:rFonts w:hint="eastAsia"/>
          <w:lang w:val="en-US" w:eastAsia="zh-CN"/>
        </w:rPr>
      </w:pPr>
    </w:p>
    <w:sectPr>
      <w:footerReference r:id="rId6" w:type="default"/>
      <w:pgSz w:w="11906" w:h="16838"/>
      <w:pgMar w:top="1701" w:right="1800" w:bottom="1440" w:left="1800" w:header="851" w:footer="992" w:gutter="0"/>
      <w:pgBorders>
        <w:top w:val="none" w:sz="0" w:space="0"/>
        <w:left w:val="none" w:sz="0" w:space="0"/>
        <w:bottom w:val="none" w:sz="0" w:space="0"/>
        <w:right w:val="none" w:sz="0" w:space="0"/>
      </w:pgBorders>
      <w:pgNumType w:fmt="decimal"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10601030101010101"/>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螳倶ｽ">
    <w:altName w:val="MS Mincho"/>
    <w:panose1 w:val="00000000000000000000"/>
    <w:charset w:val="80"/>
    <w:family w:val="auto"/>
    <w:pitch w:val="default"/>
    <w:sig w:usb0="00000000" w:usb1="00000000" w:usb2="00000010" w:usb3="00000000" w:csb0="00020000"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7298109"/>
                          </w:sdtPr>
                          <w:sdtEndPr>
                            <w:rPr>
                              <w:rFonts w:ascii="Times New Roman" w:hAnsi="Times New Roman" w:cs="Times New Roman"/>
                              <w:sz w:val="24"/>
                              <w:szCs w:val="24"/>
                            </w:rPr>
                          </w:sdtEndPr>
                          <w:sdtContent>
                            <w:p>
                              <w:pPr>
                                <w:pStyle w:val="1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t>1</w:t>
                              </w:r>
                              <w:r>
                                <w:rPr>
                                  <w:rFonts w:ascii="Times New Roman" w:hAnsi="Times New Roman" w:cs="Times New Roman"/>
                                  <w:sz w:val="24"/>
                                  <w:szCs w:val="24"/>
                                </w:rPr>
                                <w:fldChar w:fldCharType="end"/>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sdt>
                    <w:sdtPr>
                      <w:id w:val="47298109"/>
                    </w:sdtPr>
                    <w:sdtEndPr>
                      <w:rPr>
                        <w:rFonts w:ascii="Times New Roman" w:hAnsi="Times New Roman" w:cs="Times New Roman"/>
                        <w:sz w:val="24"/>
                        <w:szCs w:val="24"/>
                      </w:rPr>
                    </w:sdtEndPr>
                    <w:sdtContent>
                      <w:p>
                        <w:pPr>
                          <w:pStyle w:val="1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t>1</w:t>
                        </w:r>
                        <w:r>
                          <w:rPr>
                            <w:rFonts w:ascii="Times New Roman" w:hAnsi="Times New Roman" w:cs="Times New Roman"/>
                            <w:sz w:val="24"/>
                            <w:szCs w:val="24"/>
                          </w:rPr>
                          <w:fldChar w:fldCharType="end"/>
                        </w:r>
                      </w:p>
                    </w:sdtContent>
                  </w:sdt>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default" w:ascii="Times New Roman" w:hAnsi="Times New Roman" w:cs="Times New Roman"/>
                              <w:sz w:val="21"/>
                              <w:szCs w:val="21"/>
                            </w:rPr>
                            <w:id w:val="47298109"/>
                          </w:sdtPr>
                          <w:sdtEndPr>
                            <w:rPr>
                              <w:rFonts w:hint="default" w:ascii="Times New Roman" w:hAnsi="Times New Roman" w:cs="Times New Roman"/>
                              <w:sz w:val="21"/>
                              <w:szCs w:val="21"/>
                            </w:rPr>
                          </w:sdtEndPr>
                          <w:sdtContent>
                            <w:p>
                              <w:pPr>
                                <w:pStyle w:val="10"/>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rPr>
                        <w:rFonts w:hint="default" w:ascii="Times New Roman" w:hAnsi="Times New Roman" w:cs="Times New Roman"/>
                        <w:sz w:val="21"/>
                        <w:szCs w:val="21"/>
                      </w:rPr>
                      <w:id w:val="47298109"/>
                    </w:sdtPr>
                    <w:sdtEndPr>
                      <w:rPr>
                        <w:rFonts w:hint="default" w:ascii="Times New Roman" w:hAnsi="Times New Roman" w:cs="Times New Roman"/>
                        <w:sz w:val="21"/>
                        <w:szCs w:val="21"/>
                      </w:rPr>
                    </w:sdtEndPr>
                    <w:sdtContent>
                      <w:p>
                        <w:pPr>
                          <w:pStyle w:val="10"/>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sdtContent>
                  </w:sdt>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ascii="黑体" w:eastAsia="黑体"/>
        <w:b/>
        <w:sz w:val="44"/>
        <w:szCs w:val="44"/>
        <w:lang w:eastAsia="zh-CN"/>
      </w:rPr>
      <w:drawing>
        <wp:anchor distT="0" distB="0" distL="114300" distR="114300" simplePos="0" relativeHeight="251663360" behindDoc="0" locked="0" layoutInCell="1" allowOverlap="1">
          <wp:simplePos x="0" y="0"/>
          <wp:positionH relativeFrom="column">
            <wp:posOffset>-1177925</wp:posOffset>
          </wp:positionH>
          <wp:positionV relativeFrom="paragraph">
            <wp:posOffset>-591185</wp:posOffset>
          </wp:positionV>
          <wp:extent cx="7594600" cy="10742295"/>
          <wp:effectExtent l="0" t="0" r="6350" b="1905"/>
          <wp:wrapNone/>
          <wp:docPr id="8" name="图片 8" descr="C:/Users/ADMINI~1/AppData/Local/Temp/picturecompress_202112171720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picturecompress_20211217172021/output_1.jpgoutput_1"/>
                  <pic:cNvPicPr>
                    <a:picLocks noChangeAspect="1"/>
                  </pic:cNvPicPr>
                </pic:nvPicPr>
                <pic:blipFill>
                  <a:blip r:embed="rId1"/>
                  <a:stretch>
                    <a:fillRect/>
                  </a:stretch>
                </pic:blipFill>
                <pic:spPr>
                  <a:xfrm>
                    <a:off x="0" y="0"/>
                    <a:ext cx="7594600" cy="107422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jc w:val="center"/>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3546475</wp:posOffset>
          </wp:positionH>
          <wp:positionV relativeFrom="paragraph">
            <wp:posOffset>-92075</wp:posOffset>
          </wp:positionV>
          <wp:extent cx="1711325" cy="209550"/>
          <wp:effectExtent l="0" t="0" r="3175" b="0"/>
          <wp:wrapNone/>
          <wp:docPr id="7" name="图片 7" descr="校训字体.  曲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训字体.  曲cdr"/>
                  <pic:cNvPicPr>
                    <a:picLocks noChangeAspect="1"/>
                  </pic:cNvPicPr>
                </pic:nvPicPr>
                <pic:blipFill>
                  <a:blip r:embed="rId1"/>
                  <a:stretch>
                    <a:fillRect/>
                  </a:stretch>
                </pic:blipFill>
                <pic:spPr>
                  <a:xfrm>
                    <a:off x="0" y="0"/>
                    <a:ext cx="1711325" cy="209550"/>
                  </a:xfrm>
                  <a:prstGeom prst="rect">
                    <a:avLst/>
                  </a:prstGeom>
                </pic:spPr>
              </pic:pic>
            </a:graphicData>
          </a:graphic>
        </wp:anchor>
      </w:drawing>
    </w:r>
    <w:r>
      <w:rPr>
        <w:rFonts w:hint="eastAsia" w:ascii="仿宋_GB2312" w:hAnsi="仿宋_GB2312" w:eastAsia="仿宋_GB2312" w:cs="仿宋_GB2312"/>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-19685</wp:posOffset>
          </wp:positionH>
          <wp:positionV relativeFrom="paragraph">
            <wp:posOffset>-151130</wp:posOffset>
          </wp:positionV>
          <wp:extent cx="1953260" cy="329565"/>
          <wp:effectExtent l="0" t="0" r="8890" b="13335"/>
          <wp:wrapNone/>
          <wp:docPr id="6" name="图片 6" descr="C:/Users/ADMINI~1/AppData/Local/Temp/picturecompress_202112171708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picturecompress_20211217170814/output_1.jpgoutput_1"/>
                  <pic:cNvPicPr>
                    <a:picLocks noChangeAspect="1"/>
                  </pic:cNvPicPr>
                </pic:nvPicPr>
                <pic:blipFill>
                  <a:blip r:embed="rId2"/>
                  <a:stretch>
                    <a:fillRect/>
                  </a:stretch>
                </pic:blipFill>
                <pic:spPr>
                  <a:xfrm>
                    <a:off x="0" y="0"/>
                    <a:ext cx="1953260" cy="329565"/>
                  </a:xfrm>
                  <a:prstGeom prst="rect">
                    <a:avLst/>
                  </a:prstGeom>
                </pic:spPr>
              </pic:pic>
            </a:graphicData>
          </a:graphic>
        </wp:anchor>
      </w:drawing>
    </w:r>
    <w:r>
      <w:rPr>
        <w:rFonts w:hint="eastAsia" w:ascii="宋体" w:hAnsi="宋体"/>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2937F7"/>
    <w:multiLevelType w:val="singleLevel"/>
    <w:tmpl w:val="742937F7"/>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F1"/>
    <w:rsid w:val="0000373E"/>
    <w:rsid w:val="0000626C"/>
    <w:rsid w:val="00016003"/>
    <w:rsid w:val="00016BB0"/>
    <w:rsid w:val="0002136F"/>
    <w:rsid w:val="0003327A"/>
    <w:rsid w:val="000342C2"/>
    <w:rsid w:val="00042C58"/>
    <w:rsid w:val="00044E31"/>
    <w:rsid w:val="0005467C"/>
    <w:rsid w:val="00054753"/>
    <w:rsid w:val="0005556A"/>
    <w:rsid w:val="00097B6C"/>
    <w:rsid w:val="000B6680"/>
    <w:rsid w:val="000C2639"/>
    <w:rsid w:val="000D56F6"/>
    <w:rsid w:val="000D6B78"/>
    <w:rsid w:val="000E75F7"/>
    <w:rsid w:val="00113B45"/>
    <w:rsid w:val="001327C4"/>
    <w:rsid w:val="00134823"/>
    <w:rsid w:val="001A1F7B"/>
    <w:rsid w:val="001C6B66"/>
    <w:rsid w:val="001D78DF"/>
    <w:rsid w:val="001F0D14"/>
    <w:rsid w:val="001F31A5"/>
    <w:rsid w:val="00205A5C"/>
    <w:rsid w:val="00205CFA"/>
    <w:rsid w:val="00223A6E"/>
    <w:rsid w:val="00226C48"/>
    <w:rsid w:val="002404A6"/>
    <w:rsid w:val="00243D7B"/>
    <w:rsid w:val="00246FF7"/>
    <w:rsid w:val="002558CE"/>
    <w:rsid w:val="0026647A"/>
    <w:rsid w:val="002909FF"/>
    <w:rsid w:val="002A39AA"/>
    <w:rsid w:val="002A7DF4"/>
    <w:rsid w:val="002B029F"/>
    <w:rsid w:val="002B1637"/>
    <w:rsid w:val="002B178E"/>
    <w:rsid w:val="002B4A9A"/>
    <w:rsid w:val="002B650E"/>
    <w:rsid w:val="002E28D7"/>
    <w:rsid w:val="002E69EE"/>
    <w:rsid w:val="002F2052"/>
    <w:rsid w:val="002F3D39"/>
    <w:rsid w:val="002F5C94"/>
    <w:rsid w:val="002F6C5D"/>
    <w:rsid w:val="003121AE"/>
    <w:rsid w:val="0032633E"/>
    <w:rsid w:val="00326D02"/>
    <w:rsid w:val="00327A7D"/>
    <w:rsid w:val="00331336"/>
    <w:rsid w:val="00331837"/>
    <w:rsid w:val="00333E31"/>
    <w:rsid w:val="003351AD"/>
    <w:rsid w:val="00336135"/>
    <w:rsid w:val="003629C1"/>
    <w:rsid w:val="00363179"/>
    <w:rsid w:val="00364B16"/>
    <w:rsid w:val="00373106"/>
    <w:rsid w:val="003812E9"/>
    <w:rsid w:val="00390789"/>
    <w:rsid w:val="003B4EBF"/>
    <w:rsid w:val="003B77A9"/>
    <w:rsid w:val="003C12C2"/>
    <w:rsid w:val="003D33DD"/>
    <w:rsid w:val="003D3863"/>
    <w:rsid w:val="003D3DEE"/>
    <w:rsid w:val="003E3840"/>
    <w:rsid w:val="003F187A"/>
    <w:rsid w:val="003F2134"/>
    <w:rsid w:val="003F3FB7"/>
    <w:rsid w:val="003F7B1E"/>
    <w:rsid w:val="0042159D"/>
    <w:rsid w:val="004332C9"/>
    <w:rsid w:val="004474ED"/>
    <w:rsid w:val="0045206B"/>
    <w:rsid w:val="00453DD4"/>
    <w:rsid w:val="00457B4B"/>
    <w:rsid w:val="00474444"/>
    <w:rsid w:val="00476D86"/>
    <w:rsid w:val="004822B4"/>
    <w:rsid w:val="00486BF8"/>
    <w:rsid w:val="004A2378"/>
    <w:rsid w:val="004A6631"/>
    <w:rsid w:val="004B174F"/>
    <w:rsid w:val="004C5901"/>
    <w:rsid w:val="004E598D"/>
    <w:rsid w:val="004E67D8"/>
    <w:rsid w:val="004E6944"/>
    <w:rsid w:val="004F4077"/>
    <w:rsid w:val="004F66BD"/>
    <w:rsid w:val="004F70D8"/>
    <w:rsid w:val="00512EF5"/>
    <w:rsid w:val="00517D51"/>
    <w:rsid w:val="00523769"/>
    <w:rsid w:val="00532FFD"/>
    <w:rsid w:val="00573CB9"/>
    <w:rsid w:val="005909E3"/>
    <w:rsid w:val="00591312"/>
    <w:rsid w:val="00596596"/>
    <w:rsid w:val="005C2DAA"/>
    <w:rsid w:val="005D191D"/>
    <w:rsid w:val="005D1A1E"/>
    <w:rsid w:val="005D20B2"/>
    <w:rsid w:val="005D555A"/>
    <w:rsid w:val="005F0F94"/>
    <w:rsid w:val="005F7B3F"/>
    <w:rsid w:val="0060537B"/>
    <w:rsid w:val="00623B08"/>
    <w:rsid w:val="00624A3A"/>
    <w:rsid w:val="006404FA"/>
    <w:rsid w:val="006701BD"/>
    <w:rsid w:val="00692739"/>
    <w:rsid w:val="006930C3"/>
    <w:rsid w:val="00693E06"/>
    <w:rsid w:val="006B765F"/>
    <w:rsid w:val="006D5CB9"/>
    <w:rsid w:val="00700D0A"/>
    <w:rsid w:val="007123D0"/>
    <w:rsid w:val="00716B30"/>
    <w:rsid w:val="007231A7"/>
    <w:rsid w:val="00724D50"/>
    <w:rsid w:val="00737097"/>
    <w:rsid w:val="0073773F"/>
    <w:rsid w:val="00752EDD"/>
    <w:rsid w:val="00754706"/>
    <w:rsid w:val="00770FFD"/>
    <w:rsid w:val="007712F1"/>
    <w:rsid w:val="0077614F"/>
    <w:rsid w:val="0078352C"/>
    <w:rsid w:val="00786C44"/>
    <w:rsid w:val="007905AB"/>
    <w:rsid w:val="00793584"/>
    <w:rsid w:val="00796730"/>
    <w:rsid w:val="007A3931"/>
    <w:rsid w:val="007B276B"/>
    <w:rsid w:val="007D14C3"/>
    <w:rsid w:val="007D5134"/>
    <w:rsid w:val="007E4071"/>
    <w:rsid w:val="007F58AF"/>
    <w:rsid w:val="00815535"/>
    <w:rsid w:val="00822F5A"/>
    <w:rsid w:val="0083654E"/>
    <w:rsid w:val="00841461"/>
    <w:rsid w:val="00867133"/>
    <w:rsid w:val="008766BC"/>
    <w:rsid w:val="008B43B3"/>
    <w:rsid w:val="008B4C02"/>
    <w:rsid w:val="008B7C97"/>
    <w:rsid w:val="008C34D2"/>
    <w:rsid w:val="008C4D4B"/>
    <w:rsid w:val="008C5EFC"/>
    <w:rsid w:val="008C7ABC"/>
    <w:rsid w:val="008D357B"/>
    <w:rsid w:val="008E1364"/>
    <w:rsid w:val="008E370A"/>
    <w:rsid w:val="008F4FBF"/>
    <w:rsid w:val="008F6A6A"/>
    <w:rsid w:val="008F6E2D"/>
    <w:rsid w:val="00902686"/>
    <w:rsid w:val="009052A9"/>
    <w:rsid w:val="00916ED4"/>
    <w:rsid w:val="00921237"/>
    <w:rsid w:val="00922AA5"/>
    <w:rsid w:val="009365ED"/>
    <w:rsid w:val="00936A77"/>
    <w:rsid w:val="0095283F"/>
    <w:rsid w:val="009612FC"/>
    <w:rsid w:val="00987745"/>
    <w:rsid w:val="009B03A8"/>
    <w:rsid w:val="009C55FB"/>
    <w:rsid w:val="009E45C9"/>
    <w:rsid w:val="009E71C4"/>
    <w:rsid w:val="00A00843"/>
    <w:rsid w:val="00A0422F"/>
    <w:rsid w:val="00A0527C"/>
    <w:rsid w:val="00A26EDA"/>
    <w:rsid w:val="00A308B9"/>
    <w:rsid w:val="00A31F9B"/>
    <w:rsid w:val="00A427B6"/>
    <w:rsid w:val="00A4335F"/>
    <w:rsid w:val="00A52569"/>
    <w:rsid w:val="00A551FF"/>
    <w:rsid w:val="00A64989"/>
    <w:rsid w:val="00A7228B"/>
    <w:rsid w:val="00A81CA8"/>
    <w:rsid w:val="00A91FC5"/>
    <w:rsid w:val="00AB29C3"/>
    <w:rsid w:val="00AB7BB6"/>
    <w:rsid w:val="00AC313F"/>
    <w:rsid w:val="00AC50D6"/>
    <w:rsid w:val="00AD0EF4"/>
    <w:rsid w:val="00AD18BF"/>
    <w:rsid w:val="00AE337D"/>
    <w:rsid w:val="00AF7648"/>
    <w:rsid w:val="00AF7BD7"/>
    <w:rsid w:val="00B033EB"/>
    <w:rsid w:val="00B04FDE"/>
    <w:rsid w:val="00B24AA6"/>
    <w:rsid w:val="00B44CEF"/>
    <w:rsid w:val="00B466F1"/>
    <w:rsid w:val="00B5397D"/>
    <w:rsid w:val="00B63BF2"/>
    <w:rsid w:val="00B72763"/>
    <w:rsid w:val="00B73577"/>
    <w:rsid w:val="00B74402"/>
    <w:rsid w:val="00B77C06"/>
    <w:rsid w:val="00B818A0"/>
    <w:rsid w:val="00B91BB7"/>
    <w:rsid w:val="00BB112A"/>
    <w:rsid w:val="00BB7832"/>
    <w:rsid w:val="00BC1F26"/>
    <w:rsid w:val="00BC63BE"/>
    <w:rsid w:val="00BF23B2"/>
    <w:rsid w:val="00BF44F1"/>
    <w:rsid w:val="00C118F3"/>
    <w:rsid w:val="00C12F87"/>
    <w:rsid w:val="00C32FCE"/>
    <w:rsid w:val="00C51C26"/>
    <w:rsid w:val="00C54E60"/>
    <w:rsid w:val="00C71B31"/>
    <w:rsid w:val="00C87F88"/>
    <w:rsid w:val="00CA0DD9"/>
    <w:rsid w:val="00CA6314"/>
    <w:rsid w:val="00CA6A59"/>
    <w:rsid w:val="00CB23C4"/>
    <w:rsid w:val="00CC3418"/>
    <w:rsid w:val="00CC3A98"/>
    <w:rsid w:val="00CD2B18"/>
    <w:rsid w:val="00CE4678"/>
    <w:rsid w:val="00CF1120"/>
    <w:rsid w:val="00D0181B"/>
    <w:rsid w:val="00D0519F"/>
    <w:rsid w:val="00D246B3"/>
    <w:rsid w:val="00D337A3"/>
    <w:rsid w:val="00D406FE"/>
    <w:rsid w:val="00D40966"/>
    <w:rsid w:val="00D624BA"/>
    <w:rsid w:val="00D663CF"/>
    <w:rsid w:val="00D77AFF"/>
    <w:rsid w:val="00D86BD2"/>
    <w:rsid w:val="00D97C74"/>
    <w:rsid w:val="00DB1D42"/>
    <w:rsid w:val="00DB7E71"/>
    <w:rsid w:val="00DC2C19"/>
    <w:rsid w:val="00DD6127"/>
    <w:rsid w:val="00DD7CF1"/>
    <w:rsid w:val="00E05DD9"/>
    <w:rsid w:val="00E12F6C"/>
    <w:rsid w:val="00E24894"/>
    <w:rsid w:val="00E249AA"/>
    <w:rsid w:val="00E25639"/>
    <w:rsid w:val="00E36F14"/>
    <w:rsid w:val="00E50CE7"/>
    <w:rsid w:val="00E60187"/>
    <w:rsid w:val="00E70DD3"/>
    <w:rsid w:val="00E8385C"/>
    <w:rsid w:val="00E96F48"/>
    <w:rsid w:val="00EA1E57"/>
    <w:rsid w:val="00EA7D44"/>
    <w:rsid w:val="00EB1DBC"/>
    <w:rsid w:val="00EB1E65"/>
    <w:rsid w:val="00EB32B2"/>
    <w:rsid w:val="00EB70DA"/>
    <w:rsid w:val="00ED2931"/>
    <w:rsid w:val="00EF3558"/>
    <w:rsid w:val="00EF7B36"/>
    <w:rsid w:val="00F030F2"/>
    <w:rsid w:val="00F03DFE"/>
    <w:rsid w:val="00F1020E"/>
    <w:rsid w:val="00F10FD9"/>
    <w:rsid w:val="00F22980"/>
    <w:rsid w:val="00F247DF"/>
    <w:rsid w:val="00F27319"/>
    <w:rsid w:val="00F31430"/>
    <w:rsid w:val="00F37451"/>
    <w:rsid w:val="00F46C69"/>
    <w:rsid w:val="00F552F0"/>
    <w:rsid w:val="00F55F38"/>
    <w:rsid w:val="00F60A33"/>
    <w:rsid w:val="00F6591B"/>
    <w:rsid w:val="00F7561F"/>
    <w:rsid w:val="00F80472"/>
    <w:rsid w:val="00F8187D"/>
    <w:rsid w:val="00FA2622"/>
    <w:rsid w:val="00FB53F3"/>
    <w:rsid w:val="00FC7BF0"/>
    <w:rsid w:val="00FD117B"/>
    <w:rsid w:val="00FD45B9"/>
    <w:rsid w:val="00FE6496"/>
    <w:rsid w:val="00FF6325"/>
    <w:rsid w:val="0129127F"/>
    <w:rsid w:val="020C122D"/>
    <w:rsid w:val="02386926"/>
    <w:rsid w:val="035E7074"/>
    <w:rsid w:val="037B2169"/>
    <w:rsid w:val="03A55F6B"/>
    <w:rsid w:val="04092E1A"/>
    <w:rsid w:val="047743A0"/>
    <w:rsid w:val="04C06029"/>
    <w:rsid w:val="050D7202"/>
    <w:rsid w:val="051B0846"/>
    <w:rsid w:val="05321B4B"/>
    <w:rsid w:val="053850A0"/>
    <w:rsid w:val="0560562F"/>
    <w:rsid w:val="05937A58"/>
    <w:rsid w:val="05C002ED"/>
    <w:rsid w:val="067F70BB"/>
    <w:rsid w:val="06B238FA"/>
    <w:rsid w:val="06D011B9"/>
    <w:rsid w:val="07392139"/>
    <w:rsid w:val="078514A4"/>
    <w:rsid w:val="07A30046"/>
    <w:rsid w:val="07B878F6"/>
    <w:rsid w:val="07BA7FB2"/>
    <w:rsid w:val="07DA1B79"/>
    <w:rsid w:val="086A2811"/>
    <w:rsid w:val="08914547"/>
    <w:rsid w:val="08A33172"/>
    <w:rsid w:val="08B12475"/>
    <w:rsid w:val="08C56F4C"/>
    <w:rsid w:val="08D34B6E"/>
    <w:rsid w:val="098902C6"/>
    <w:rsid w:val="09BF2B30"/>
    <w:rsid w:val="09C15EEA"/>
    <w:rsid w:val="0A3F65EC"/>
    <w:rsid w:val="0ADC0919"/>
    <w:rsid w:val="0B29555A"/>
    <w:rsid w:val="0B92314F"/>
    <w:rsid w:val="0BB526B4"/>
    <w:rsid w:val="0BE95B2A"/>
    <w:rsid w:val="0C1A784C"/>
    <w:rsid w:val="0C4B40D3"/>
    <w:rsid w:val="0C997083"/>
    <w:rsid w:val="0D3D11C1"/>
    <w:rsid w:val="0E0B5308"/>
    <w:rsid w:val="0E2B1F99"/>
    <w:rsid w:val="0E9973DD"/>
    <w:rsid w:val="0EAB7A04"/>
    <w:rsid w:val="0EAF1A24"/>
    <w:rsid w:val="0EC46C48"/>
    <w:rsid w:val="0EE60923"/>
    <w:rsid w:val="0F2526B2"/>
    <w:rsid w:val="0FBE70DE"/>
    <w:rsid w:val="0FE56D48"/>
    <w:rsid w:val="10383406"/>
    <w:rsid w:val="104755A3"/>
    <w:rsid w:val="10D9599F"/>
    <w:rsid w:val="11643A43"/>
    <w:rsid w:val="11C27CCA"/>
    <w:rsid w:val="12C26CEB"/>
    <w:rsid w:val="12C87D84"/>
    <w:rsid w:val="12EB642B"/>
    <w:rsid w:val="131651AF"/>
    <w:rsid w:val="13306354"/>
    <w:rsid w:val="13BB145F"/>
    <w:rsid w:val="14134623"/>
    <w:rsid w:val="14592C48"/>
    <w:rsid w:val="1511114E"/>
    <w:rsid w:val="15196420"/>
    <w:rsid w:val="158406FB"/>
    <w:rsid w:val="159D0BDB"/>
    <w:rsid w:val="16186D08"/>
    <w:rsid w:val="16277DD1"/>
    <w:rsid w:val="1628706A"/>
    <w:rsid w:val="1647748F"/>
    <w:rsid w:val="164A7C77"/>
    <w:rsid w:val="17292F61"/>
    <w:rsid w:val="173157BB"/>
    <w:rsid w:val="178413AC"/>
    <w:rsid w:val="17C4584F"/>
    <w:rsid w:val="186758BB"/>
    <w:rsid w:val="186B21C5"/>
    <w:rsid w:val="18B302E6"/>
    <w:rsid w:val="193D389A"/>
    <w:rsid w:val="1A281B1F"/>
    <w:rsid w:val="1AE93470"/>
    <w:rsid w:val="1AF70F7F"/>
    <w:rsid w:val="1B73171E"/>
    <w:rsid w:val="1B8955C7"/>
    <w:rsid w:val="1B8B0868"/>
    <w:rsid w:val="1BED2A00"/>
    <w:rsid w:val="1BFA6EB3"/>
    <w:rsid w:val="1C597D41"/>
    <w:rsid w:val="1C704997"/>
    <w:rsid w:val="1C9C1EE1"/>
    <w:rsid w:val="1CDE0620"/>
    <w:rsid w:val="1D1D3B5D"/>
    <w:rsid w:val="1E49414C"/>
    <w:rsid w:val="1E7F53C0"/>
    <w:rsid w:val="1EFB6C8A"/>
    <w:rsid w:val="1F163832"/>
    <w:rsid w:val="1F2166F7"/>
    <w:rsid w:val="1F3F781D"/>
    <w:rsid w:val="1FCE075E"/>
    <w:rsid w:val="201F4CA7"/>
    <w:rsid w:val="20E64892"/>
    <w:rsid w:val="21730749"/>
    <w:rsid w:val="21894E36"/>
    <w:rsid w:val="21C22277"/>
    <w:rsid w:val="22511B61"/>
    <w:rsid w:val="226F5005"/>
    <w:rsid w:val="22D642A8"/>
    <w:rsid w:val="23042055"/>
    <w:rsid w:val="23230520"/>
    <w:rsid w:val="24691B3A"/>
    <w:rsid w:val="248E4899"/>
    <w:rsid w:val="25640C29"/>
    <w:rsid w:val="25F836E6"/>
    <w:rsid w:val="26A77C4E"/>
    <w:rsid w:val="26B23FA0"/>
    <w:rsid w:val="26C339B9"/>
    <w:rsid w:val="271E02DB"/>
    <w:rsid w:val="27213EDA"/>
    <w:rsid w:val="280E1367"/>
    <w:rsid w:val="285F00C7"/>
    <w:rsid w:val="2899688A"/>
    <w:rsid w:val="28A5636F"/>
    <w:rsid w:val="28E641B1"/>
    <w:rsid w:val="28E654F5"/>
    <w:rsid w:val="29412E78"/>
    <w:rsid w:val="297D4466"/>
    <w:rsid w:val="2986284C"/>
    <w:rsid w:val="29A9525B"/>
    <w:rsid w:val="29B535EE"/>
    <w:rsid w:val="29BC41BF"/>
    <w:rsid w:val="29C571FD"/>
    <w:rsid w:val="29D4440D"/>
    <w:rsid w:val="29E01176"/>
    <w:rsid w:val="2A3E409E"/>
    <w:rsid w:val="2A463760"/>
    <w:rsid w:val="2AA903DC"/>
    <w:rsid w:val="2AB03E3D"/>
    <w:rsid w:val="2AB270CD"/>
    <w:rsid w:val="2ACB1808"/>
    <w:rsid w:val="2B8A3268"/>
    <w:rsid w:val="2BA2455A"/>
    <w:rsid w:val="2BA514F4"/>
    <w:rsid w:val="2C164114"/>
    <w:rsid w:val="2C253615"/>
    <w:rsid w:val="2C6B152D"/>
    <w:rsid w:val="2C8043DD"/>
    <w:rsid w:val="2CB646FF"/>
    <w:rsid w:val="2CDC3479"/>
    <w:rsid w:val="2D2367EA"/>
    <w:rsid w:val="2D5439E7"/>
    <w:rsid w:val="2D6356A1"/>
    <w:rsid w:val="2DC0423B"/>
    <w:rsid w:val="2DE50B05"/>
    <w:rsid w:val="2DE751F7"/>
    <w:rsid w:val="2E08448E"/>
    <w:rsid w:val="2E0B370F"/>
    <w:rsid w:val="2E1D1590"/>
    <w:rsid w:val="2E4805AF"/>
    <w:rsid w:val="2E507AE9"/>
    <w:rsid w:val="2E870600"/>
    <w:rsid w:val="2EAA793A"/>
    <w:rsid w:val="2F1363C8"/>
    <w:rsid w:val="2F3225CA"/>
    <w:rsid w:val="2F5636D0"/>
    <w:rsid w:val="2FA66DE9"/>
    <w:rsid w:val="2FE56C82"/>
    <w:rsid w:val="2FEE24A6"/>
    <w:rsid w:val="2FF9666B"/>
    <w:rsid w:val="30310D37"/>
    <w:rsid w:val="30650A4E"/>
    <w:rsid w:val="30BF0A1D"/>
    <w:rsid w:val="30DE751C"/>
    <w:rsid w:val="30EB0788"/>
    <w:rsid w:val="30F921C1"/>
    <w:rsid w:val="31162E04"/>
    <w:rsid w:val="31375D9B"/>
    <w:rsid w:val="318C6CC9"/>
    <w:rsid w:val="3224430A"/>
    <w:rsid w:val="32983ED2"/>
    <w:rsid w:val="32EB45E3"/>
    <w:rsid w:val="331E461B"/>
    <w:rsid w:val="34121801"/>
    <w:rsid w:val="3412791D"/>
    <w:rsid w:val="34731183"/>
    <w:rsid w:val="3474330E"/>
    <w:rsid w:val="34960E55"/>
    <w:rsid w:val="34B21167"/>
    <w:rsid w:val="34C850E1"/>
    <w:rsid w:val="34CE25D3"/>
    <w:rsid w:val="34D37609"/>
    <w:rsid w:val="34EA0ACF"/>
    <w:rsid w:val="350376A1"/>
    <w:rsid w:val="352068CB"/>
    <w:rsid w:val="35D25FEA"/>
    <w:rsid w:val="35D93B6C"/>
    <w:rsid w:val="360C67BF"/>
    <w:rsid w:val="361B476A"/>
    <w:rsid w:val="361D5400"/>
    <w:rsid w:val="3683719C"/>
    <w:rsid w:val="36B5288E"/>
    <w:rsid w:val="37453A44"/>
    <w:rsid w:val="38291D48"/>
    <w:rsid w:val="39220C94"/>
    <w:rsid w:val="39482CDD"/>
    <w:rsid w:val="39E27AC6"/>
    <w:rsid w:val="3AF835F7"/>
    <w:rsid w:val="3B9555A9"/>
    <w:rsid w:val="3C124330"/>
    <w:rsid w:val="3C471B94"/>
    <w:rsid w:val="3C617460"/>
    <w:rsid w:val="3C7467D7"/>
    <w:rsid w:val="3CA164E5"/>
    <w:rsid w:val="3CAC151C"/>
    <w:rsid w:val="3D281869"/>
    <w:rsid w:val="3D7842CF"/>
    <w:rsid w:val="3DB80AEF"/>
    <w:rsid w:val="3DF60325"/>
    <w:rsid w:val="3E3B736C"/>
    <w:rsid w:val="3EA15F75"/>
    <w:rsid w:val="3ED81F78"/>
    <w:rsid w:val="3EF26FED"/>
    <w:rsid w:val="3F812302"/>
    <w:rsid w:val="40953D00"/>
    <w:rsid w:val="40D84EE9"/>
    <w:rsid w:val="41202F53"/>
    <w:rsid w:val="419B20FA"/>
    <w:rsid w:val="41CC6BD2"/>
    <w:rsid w:val="41CD237C"/>
    <w:rsid w:val="41CF0158"/>
    <w:rsid w:val="428468D8"/>
    <w:rsid w:val="42A77676"/>
    <w:rsid w:val="42A874A4"/>
    <w:rsid w:val="42C01AED"/>
    <w:rsid w:val="430E7270"/>
    <w:rsid w:val="449830F6"/>
    <w:rsid w:val="44A65ECC"/>
    <w:rsid w:val="44C27B85"/>
    <w:rsid w:val="44FA7048"/>
    <w:rsid w:val="45296F3A"/>
    <w:rsid w:val="45FC77E2"/>
    <w:rsid w:val="463E41B3"/>
    <w:rsid w:val="470B2854"/>
    <w:rsid w:val="4789034F"/>
    <w:rsid w:val="495B239F"/>
    <w:rsid w:val="49E54AAC"/>
    <w:rsid w:val="4A2C0B23"/>
    <w:rsid w:val="4A3B6B09"/>
    <w:rsid w:val="4A5215D7"/>
    <w:rsid w:val="4A5D71CD"/>
    <w:rsid w:val="4AF009DD"/>
    <w:rsid w:val="4B1B2864"/>
    <w:rsid w:val="4B2F5A10"/>
    <w:rsid w:val="4B397D54"/>
    <w:rsid w:val="4B5A2368"/>
    <w:rsid w:val="4B952B82"/>
    <w:rsid w:val="4BC311ED"/>
    <w:rsid w:val="4C16247E"/>
    <w:rsid w:val="4C4261D4"/>
    <w:rsid w:val="4C5063FE"/>
    <w:rsid w:val="4CF63A7A"/>
    <w:rsid w:val="4D2A7B3F"/>
    <w:rsid w:val="4D936830"/>
    <w:rsid w:val="4D9C1893"/>
    <w:rsid w:val="4DF92EF8"/>
    <w:rsid w:val="4E2276BF"/>
    <w:rsid w:val="4E3C7D00"/>
    <w:rsid w:val="4EE350DE"/>
    <w:rsid w:val="4F8C2F05"/>
    <w:rsid w:val="504E54D0"/>
    <w:rsid w:val="50F2053E"/>
    <w:rsid w:val="50FE02B3"/>
    <w:rsid w:val="51095DCA"/>
    <w:rsid w:val="5128521C"/>
    <w:rsid w:val="51355382"/>
    <w:rsid w:val="514658AD"/>
    <w:rsid w:val="5168719D"/>
    <w:rsid w:val="51847F0F"/>
    <w:rsid w:val="5196603A"/>
    <w:rsid w:val="51EE1EAE"/>
    <w:rsid w:val="523C54E4"/>
    <w:rsid w:val="52A25D2A"/>
    <w:rsid w:val="53BB2408"/>
    <w:rsid w:val="54094F8E"/>
    <w:rsid w:val="549E7EE8"/>
    <w:rsid w:val="54C86824"/>
    <w:rsid w:val="55262466"/>
    <w:rsid w:val="552803B9"/>
    <w:rsid w:val="554F4ABE"/>
    <w:rsid w:val="55B96F10"/>
    <w:rsid w:val="55C025B9"/>
    <w:rsid w:val="564D7926"/>
    <w:rsid w:val="565B781E"/>
    <w:rsid w:val="56C9247B"/>
    <w:rsid w:val="57B546DE"/>
    <w:rsid w:val="58730EDF"/>
    <w:rsid w:val="59367040"/>
    <w:rsid w:val="59940142"/>
    <w:rsid w:val="59BB3E67"/>
    <w:rsid w:val="5A096502"/>
    <w:rsid w:val="5AAD044E"/>
    <w:rsid w:val="5AB24EE3"/>
    <w:rsid w:val="5B21749F"/>
    <w:rsid w:val="5B525409"/>
    <w:rsid w:val="5B96351F"/>
    <w:rsid w:val="5BA27B5E"/>
    <w:rsid w:val="5BDA69BD"/>
    <w:rsid w:val="5C902E30"/>
    <w:rsid w:val="5CAD5DC7"/>
    <w:rsid w:val="5CC76201"/>
    <w:rsid w:val="5CCA07C8"/>
    <w:rsid w:val="5D1B3720"/>
    <w:rsid w:val="5D314D8D"/>
    <w:rsid w:val="5D4B1F05"/>
    <w:rsid w:val="5D604595"/>
    <w:rsid w:val="5D6B6F69"/>
    <w:rsid w:val="5D7C2B19"/>
    <w:rsid w:val="5DDD031B"/>
    <w:rsid w:val="5DFD0F59"/>
    <w:rsid w:val="5E147231"/>
    <w:rsid w:val="5E50344D"/>
    <w:rsid w:val="5EBF0AF1"/>
    <w:rsid w:val="5FA32F55"/>
    <w:rsid w:val="604343C9"/>
    <w:rsid w:val="604C6062"/>
    <w:rsid w:val="607E688A"/>
    <w:rsid w:val="609A3BFB"/>
    <w:rsid w:val="613A4B6E"/>
    <w:rsid w:val="61483563"/>
    <w:rsid w:val="617E796A"/>
    <w:rsid w:val="618E1354"/>
    <w:rsid w:val="6328604A"/>
    <w:rsid w:val="632A1BF0"/>
    <w:rsid w:val="639F3DFF"/>
    <w:rsid w:val="64830433"/>
    <w:rsid w:val="64DC2DAF"/>
    <w:rsid w:val="656666D1"/>
    <w:rsid w:val="65A0578C"/>
    <w:rsid w:val="65A94389"/>
    <w:rsid w:val="65BB6415"/>
    <w:rsid w:val="65C1722A"/>
    <w:rsid w:val="65FE28F8"/>
    <w:rsid w:val="664B5DB6"/>
    <w:rsid w:val="66675B0C"/>
    <w:rsid w:val="670270FE"/>
    <w:rsid w:val="671362D9"/>
    <w:rsid w:val="671F64A6"/>
    <w:rsid w:val="675B6D5A"/>
    <w:rsid w:val="67645035"/>
    <w:rsid w:val="676A09D6"/>
    <w:rsid w:val="67A140DA"/>
    <w:rsid w:val="67C66BC2"/>
    <w:rsid w:val="68004BD8"/>
    <w:rsid w:val="692F6F00"/>
    <w:rsid w:val="6956758D"/>
    <w:rsid w:val="69887333"/>
    <w:rsid w:val="69912B3F"/>
    <w:rsid w:val="69BF63A8"/>
    <w:rsid w:val="69C32E7C"/>
    <w:rsid w:val="6B297725"/>
    <w:rsid w:val="6B41743C"/>
    <w:rsid w:val="6B850444"/>
    <w:rsid w:val="6BFC74FF"/>
    <w:rsid w:val="6C7F1045"/>
    <w:rsid w:val="6CBD2A5D"/>
    <w:rsid w:val="6CDC4353"/>
    <w:rsid w:val="6D2C7E5D"/>
    <w:rsid w:val="6D5C5872"/>
    <w:rsid w:val="6DA31C40"/>
    <w:rsid w:val="6DC73405"/>
    <w:rsid w:val="6DC767B1"/>
    <w:rsid w:val="6DDC4C30"/>
    <w:rsid w:val="6ED74960"/>
    <w:rsid w:val="6F0A249D"/>
    <w:rsid w:val="6F336CC2"/>
    <w:rsid w:val="6F562AD3"/>
    <w:rsid w:val="6F6B536A"/>
    <w:rsid w:val="6F853BC8"/>
    <w:rsid w:val="6FFB75C3"/>
    <w:rsid w:val="70310E6D"/>
    <w:rsid w:val="70A95549"/>
    <w:rsid w:val="70BD60C6"/>
    <w:rsid w:val="710555DD"/>
    <w:rsid w:val="71BE6505"/>
    <w:rsid w:val="71C3272C"/>
    <w:rsid w:val="72031FCA"/>
    <w:rsid w:val="72342A1F"/>
    <w:rsid w:val="72956E31"/>
    <w:rsid w:val="72D1647D"/>
    <w:rsid w:val="72F8792D"/>
    <w:rsid w:val="733C6B5E"/>
    <w:rsid w:val="733D2355"/>
    <w:rsid w:val="73484892"/>
    <w:rsid w:val="743375E6"/>
    <w:rsid w:val="74720CDA"/>
    <w:rsid w:val="747A2071"/>
    <w:rsid w:val="74B14359"/>
    <w:rsid w:val="753C5528"/>
    <w:rsid w:val="766E0709"/>
    <w:rsid w:val="769D5414"/>
    <w:rsid w:val="76FE63AE"/>
    <w:rsid w:val="77535354"/>
    <w:rsid w:val="7775334A"/>
    <w:rsid w:val="784E4DAD"/>
    <w:rsid w:val="78640DAD"/>
    <w:rsid w:val="78E8240E"/>
    <w:rsid w:val="79014545"/>
    <w:rsid w:val="791E3C0C"/>
    <w:rsid w:val="79640492"/>
    <w:rsid w:val="79C0334B"/>
    <w:rsid w:val="79F10FA8"/>
    <w:rsid w:val="7A365627"/>
    <w:rsid w:val="7AB8241B"/>
    <w:rsid w:val="7ABF095D"/>
    <w:rsid w:val="7B2D5E29"/>
    <w:rsid w:val="7B867DE1"/>
    <w:rsid w:val="7BD824D3"/>
    <w:rsid w:val="7BDD67B7"/>
    <w:rsid w:val="7BE002D7"/>
    <w:rsid w:val="7C2868CF"/>
    <w:rsid w:val="7CA30D65"/>
    <w:rsid w:val="7CB44CF4"/>
    <w:rsid w:val="7D022E85"/>
    <w:rsid w:val="7D4F0BAF"/>
    <w:rsid w:val="7D566CB5"/>
    <w:rsid w:val="7DB56583"/>
    <w:rsid w:val="7DC47A9D"/>
    <w:rsid w:val="7DEB3EEE"/>
    <w:rsid w:val="7EA44A77"/>
    <w:rsid w:val="7EB4235F"/>
    <w:rsid w:val="7EC84F4F"/>
    <w:rsid w:val="7EE11EE3"/>
    <w:rsid w:val="7F9B35C2"/>
    <w:rsid w:val="7FEE29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28"/>
    <w:unhideWhenUsed/>
    <w:qFormat/>
    <w:uiPriority w:val="9"/>
    <w:pPr>
      <w:keepNext/>
      <w:keepLines/>
      <w:spacing w:before="260" w:after="260" w:line="416" w:lineRule="auto"/>
      <w:outlineLvl w:val="2"/>
    </w:pPr>
    <w:rPr>
      <w:b/>
      <w:bCs/>
      <w:sz w:val="32"/>
      <w:szCs w:val="32"/>
    </w:rPr>
  </w:style>
  <w:style w:type="character" w:default="1" w:styleId="26">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6">
    <w:name w:val="caption"/>
    <w:basedOn w:val="1"/>
    <w:next w:val="1"/>
    <w:qFormat/>
    <w:uiPriority w:val="35"/>
    <w:rPr>
      <w:rFonts w:ascii="Cambria" w:hAnsi="Cambria" w:eastAsia="黑体"/>
      <w:sz w:val="20"/>
      <w:szCs w:val="20"/>
    </w:rPr>
  </w:style>
  <w:style w:type="paragraph" w:styleId="7">
    <w:name w:val="Body Text"/>
    <w:basedOn w:val="1"/>
    <w:qFormat/>
    <w:uiPriority w:val="1"/>
    <w:rPr>
      <w:rFonts w:ascii="宋体" w:hAnsi="宋体" w:eastAsia="宋体" w:cs="宋体"/>
      <w:sz w:val="28"/>
      <w:szCs w:val="28"/>
      <w:lang w:val="zh-CN" w:eastAsia="zh-CN" w:bidi="zh-CN"/>
    </w:rPr>
  </w:style>
  <w:style w:type="paragraph" w:styleId="8">
    <w:name w:val="toc 3"/>
    <w:basedOn w:val="1"/>
    <w:next w:val="1"/>
    <w:unhideWhenUsed/>
    <w:qFormat/>
    <w:uiPriority w:val="39"/>
    <w:pPr>
      <w:ind w:left="840" w:leftChars="400"/>
    </w:pPr>
  </w:style>
  <w:style w:type="paragraph" w:styleId="9">
    <w:name w:val="Balloon Text"/>
    <w:basedOn w:val="1"/>
    <w:link w:val="35"/>
    <w:unhideWhenUsed/>
    <w:qFormat/>
    <w:uiPriority w:val="99"/>
    <w:rPr>
      <w:sz w:val="18"/>
      <w:szCs w:val="18"/>
    </w:rPr>
  </w:style>
  <w:style w:type="paragraph" w:styleId="10">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2">
    <w:name w:val="toc 1"/>
    <w:basedOn w:val="1"/>
    <w:next w:val="1"/>
    <w:unhideWhenUsed/>
    <w:qFormat/>
    <w:uiPriority w:val="39"/>
  </w:style>
  <w:style w:type="paragraph" w:styleId="13">
    <w:name w:val="toc 4"/>
    <w:basedOn w:val="1"/>
    <w:next w:val="1"/>
    <w:unhideWhenUsed/>
    <w:qFormat/>
    <w:uiPriority w:val="39"/>
    <w:pPr>
      <w:ind w:left="1260" w:leftChars="600"/>
    </w:pPr>
  </w:style>
  <w:style w:type="paragraph" w:styleId="14">
    <w:name w:val="footnote text"/>
    <w:basedOn w:val="1"/>
    <w:link w:val="37"/>
    <w:unhideWhenUsed/>
    <w:qFormat/>
    <w:uiPriority w:val="0"/>
    <w:pPr>
      <w:widowControl/>
      <w:jc w:val="left"/>
    </w:pPr>
    <w:rPr>
      <w:kern w:val="0"/>
      <w:sz w:val="20"/>
      <w:szCs w:val="20"/>
    </w:rPr>
  </w:style>
  <w:style w:type="paragraph" w:styleId="15">
    <w:name w:val="toc 2"/>
    <w:basedOn w:val="1"/>
    <w:next w:val="1"/>
    <w:unhideWhenUsed/>
    <w:qFormat/>
    <w:uiPriority w:val="39"/>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8">
    <w:name w:val="Table Grid"/>
    <w:basedOn w:val="17"/>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19">
    <w:name w:val="Light List Accent 2"/>
    <w:basedOn w:val="17"/>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20">
    <w:name w:val="Light Grid Accent 2"/>
    <w:basedOn w:val="17"/>
    <w:qFormat/>
    <w:uiPriority w:val="62"/>
    <w:pPr>
      <w:jc w:val="both"/>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21">
    <w:name w:val="Medium Shading 1 Accent 2"/>
    <w:basedOn w:val="17"/>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22">
    <w:name w:val="Medium Shading 2 Accent 2"/>
    <w:basedOn w:val="17"/>
    <w:qFormat/>
    <w:uiPriority w:val="64"/>
    <w:pPr>
      <w:jc w:val="both"/>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23">
    <w:name w:val="Medium Grid 1 Accent 2"/>
    <w:basedOn w:val="17"/>
    <w:qFormat/>
    <w:uiPriority w:val="67"/>
    <w:pPr>
      <w:jc w:val="both"/>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4">
    <w:name w:val="Medium Grid 2 Accent 2"/>
    <w:basedOn w:val="17"/>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25">
    <w:name w:val="Medium Grid 3 Accent 2"/>
    <w:basedOn w:val="17"/>
    <w:qFormat/>
    <w:uiPriority w:val="69"/>
    <w:pPr>
      <w:jc w:val="both"/>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character" w:styleId="27">
    <w:name w:val="Strong"/>
    <w:basedOn w:val="26"/>
    <w:qFormat/>
    <w:uiPriority w:val="22"/>
    <w:rPr>
      <w:rFonts w:cs="Times New Roman"/>
      <w:b/>
      <w:bCs/>
    </w:rPr>
  </w:style>
  <w:style w:type="character" w:styleId="28">
    <w:name w:val="FollowedHyperlink"/>
    <w:basedOn w:val="26"/>
    <w:unhideWhenUsed/>
    <w:qFormat/>
    <w:uiPriority w:val="99"/>
    <w:rPr>
      <w:rFonts w:cs="Times New Roman"/>
      <w:color w:val="800080"/>
      <w:u w:val="single"/>
    </w:rPr>
  </w:style>
  <w:style w:type="character" w:styleId="29">
    <w:name w:val="Hyperlink"/>
    <w:basedOn w:val="26"/>
    <w:unhideWhenUsed/>
    <w:qFormat/>
    <w:uiPriority w:val="99"/>
    <w:rPr>
      <w:rFonts w:cs="Times New Roman"/>
      <w:color w:val="0000FF"/>
      <w:u w:val="single"/>
    </w:rPr>
  </w:style>
  <w:style w:type="character" w:styleId="30">
    <w:name w:val="footnote reference"/>
    <w:basedOn w:val="26"/>
    <w:semiHidden/>
    <w:qFormat/>
    <w:uiPriority w:val="0"/>
    <w:rPr>
      <w:rFonts w:cs="Times New Roman"/>
      <w:vertAlign w:val="superscript"/>
    </w:rPr>
  </w:style>
  <w:style w:type="character" w:customStyle="1" w:styleId="31">
    <w:name w:val="页眉 Char"/>
    <w:basedOn w:val="26"/>
    <w:link w:val="11"/>
    <w:qFormat/>
    <w:uiPriority w:val="99"/>
    <w:rPr>
      <w:sz w:val="18"/>
      <w:szCs w:val="18"/>
    </w:rPr>
  </w:style>
  <w:style w:type="character" w:customStyle="1" w:styleId="32">
    <w:name w:val="页脚 Char"/>
    <w:basedOn w:val="26"/>
    <w:link w:val="10"/>
    <w:qFormat/>
    <w:uiPriority w:val="99"/>
    <w:rPr>
      <w:sz w:val="18"/>
      <w:szCs w:val="18"/>
    </w:rPr>
  </w:style>
  <w:style w:type="character" w:customStyle="1" w:styleId="33">
    <w:name w:val="标题 1 Char"/>
    <w:basedOn w:val="26"/>
    <w:link w:val="3"/>
    <w:qFormat/>
    <w:uiPriority w:val="9"/>
    <w:rPr>
      <w:rFonts w:ascii="Calibri" w:hAnsi="Calibri" w:eastAsia="宋体" w:cs="Times New Roman"/>
      <w:b/>
      <w:bCs/>
      <w:kern w:val="44"/>
      <w:sz w:val="44"/>
      <w:szCs w:val="44"/>
    </w:rPr>
  </w:style>
  <w:style w:type="character" w:customStyle="1" w:styleId="34">
    <w:name w:val="批注框文本 Char"/>
    <w:basedOn w:val="26"/>
    <w:link w:val="9"/>
    <w:qFormat/>
    <w:uiPriority w:val="99"/>
    <w:rPr>
      <w:rFonts w:ascii="Calibri" w:hAnsi="Calibri" w:eastAsia="宋体" w:cs="Times New Roman"/>
      <w:sz w:val="18"/>
      <w:szCs w:val="18"/>
    </w:rPr>
  </w:style>
  <w:style w:type="character" w:customStyle="1" w:styleId="35">
    <w:name w:val="批注框文本 Char1"/>
    <w:basedOn w:val="26"/>
    <w:link w:val="9"/>
    <w:qFormat/>
    <w:locked/>
    <w:uiPriority w:val="99"/>
    <w:rPr>
      <w:rFonts w:ascii="Calibri" w:hAnsi="Calibri" w:eastAsia="宋体" w:cs="Times New Roman"/>
      <w:sz w:val="18"/>
      <w:szCs w:val="18"/>
    </w:rPr>
  </w:style>
  <w:style w:type="character" w:customStyle="1" w:styleId="36">
    <w:name w:val="脚注文本 Char"/>
    <w:basedOn w:val="26"/>
    <w:link w:val="14"/>
    <w:qFormat/>
    <w:uiPriority w:val="0"/>
    <w:rPr>
      <w:rFonts w:ascii="Calibri" w:hAnsi="Calibri" w:eastAsia="宋体" w:cs="Times New Roman"/>
      <w:sz w:val="18"/>
      <w:szCs w:val="18"/>
    </w:rPr>
  </w:style>
  <w:style w:type="character" w:customStyle="1" w:styleId="37">
    <w:name w:val="脚注文本 Char1"/>
    <w:basedOn w:val="26"/>
    <w:link w:val="14"/>
    <w:qFormat/>
    <w:locked/>
    <w:uiPriority w:val="0"/>
    <w:rPr>
      <w:rFonts w:ascii="Calibri" w:hAnsi="Calibri" w:eastAsia="宋体" w:cs="Times New Roman"/>
      <w:kern w:val="0"/>
      <w:sz w:val="20"/>
      <w:szCs w:val="20"/>
    </w:rPr>
  </w:style>
  <w:style w:type="table" w:customStyle="1" w:styleId="38">
    <w:name w:val="浅色底纹 - 强调文字颜色 11"/>
    <w:basedOn w:val="17"/>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left w:val="nil"/>
          <w:right w:val="nil"/>
          <w:insideH w:val="nil"/>
          <w:insideV w:val="nil"/>
        </w:tcBorders>
        <w:shd w:val="clear" w:color="auto" w:fill="D3DFEE"/>
      </w:tcPr>
    </w:tblStylePr>
    <w:tblStylePr w:type="band1Horz">
      <w:rPr>
        <w:rFonts w:cs="Times New Roman"/>
      </w:rPr>
      <w:tcPr>
        <w:tcBorders>
          <w:left w:val="nil"/>
          <w:right w:val="nil"/>
          <w:insideH w:val="nil"/>
          <w:insideV w:val="nil"/>
        </w:tcBorders>
        <w:shd w:val="clear" w:color="auto" w:fill="D3DFEE"/>
      </w:tcPr>
    </w:tblStylePr>
  </w:style>
  <w:style w:type="table" w:customStyle="1" w:styleId="39">
    <w:name w:val="Light Shading - Accent 3"/>
    <w:basedOn w:val="17"/>
    <w:qFormat/>
    <w:uiPriority w:val="60"/>
    <w:rPr>
      <w:rFonts w:ascii="Calibri" w:hAnsi="Calibri" w:eastAsia="宋体" w:cs="Times New Roman"/>
      <w:color w:val="76923C"/>
      <w:kern w:val="0"/>
      <w:sz w:val="20"/>
      <w:szCs w:val="20"/>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style>
  <w:style w:type="table" w:customStyle="1" w:styleId="40">
    <w:name w:val="Light Shading - Accent 5"/>
    <w:basedOn w:val="17"/>
    <w:qFormat/>
    <w:uiPriority w:val="60"/>
    <w:rPr>
      <w:rFonts w:ascii="Calibri" w:hAnsi="Calibri" w:eastAsia="宋体" w:cs="Times New Roman"/>
      <w:color w:val="31849B"/>
      <w:kern w:val="0"/>
      <w:sz w:val="20"/>
      <w:szCs w:val="20"/>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style>
  <w:style w:type="table" w:customStyle="1" w:styleId="41">
    <w:name w:val="Light List - Accent 2"/>
    <w:basedOn w:val="17"/>
    <w:qFormat/>
    <w:uiPriority w:val="61"/>
    <w:rPr>
      <w:rFonts w:ascii="Calibri" w:hAnsi="Calibri" w:eastAsia="宋体" w:cs="Times New Roman"/>
      <w:kern w:val="0"/>
      <w:sz w:val="20"/>
      <w:szCs w:val="20"/>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C0504D"/>
      </w:tcPr>
    </w:tblStylePr>
    <w:tblStylePr w:type="lastRow">
      <w:pPr>
        <w:spacing w:before="0" w:after="0"/>
      </w:pPr>
      <w:rPr>
        <w:rFonts w:cs="Times New Roman"/>
        <w:b/>
        <w:bCs/>
      </w:r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customStyle="1" w:styleId="42">
    <w:name w:val="Light List - Accent 3"/>
    <w:basedOn w:val="17"/>
    <w:qFormat/>
    <w:uiPriority w:val="61"/>
    <w:rPr>
      <w:rFonts w:ascii="Calibri" w:hAnsi="Calibri" w:eastAsia="宋体" w:cs="Times New Roman"/>
      <w:kern w:val="0"/>
      <w:sz w:val="22"/>
      <w:szCs w:val="20"/>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9BBB59"/>
      </w:tcPr>
    </w:tblStylePr>
    <w:tblStylePr w:type="lastRow">
      <w:pPr>
        <w:spacing w:before="0" w:after="0"/>
      </w:pPr>
      <w:rPr>
        <w:rFonts w:cs="Times New Roman"/>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43">
    <w:name w:val="Light List - Accent 4"/>
    <w:basedOn w:val="17"/>
    <w:qFormat/>
    <w:uiPriority w:val="61"/>
    <w:rPr>
      <w:rFonts w:ascii="Calibri" w:hAnsi="Calibri" w:eastAsia="宋体" w:cs="Times New Roman"/>
      <w:kern w:val="0"/>
      <w:sz w:val="20"/>
      <w:szCs w:val="20"/>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8064A2"/>
      </w:tcPr>
    </w:tblStylePr>
    <w:tblStylePr w:type="lastRow">
      <w:pPr>
        <w:spacing w:before="0" w:after="0"/>
      </w:pPr>
      <w:rPr>
        <w:rFonts w:cs="Times New Roman"/>
        <w:b/>
        <w:bCs/>
      </w:r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customStyle="1" w:styleId="44">
    <w:name w:val="Light List - Accent 5"/>
    <w:basedOn w:val="17"/>
    <w:qFormat/>
    <w:uiPriority w:val="61"/>
    <w:rPr>
      <w:rFonts w:ascii="Calibri" w:hAnsi="Calibri" w:eastAsia="宋体" w:cs="Times New Roman"/>
      <w:kern w:val="0"/>
      <w:sz w:val="20"/>
      <w:szCs w:val="2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BACC6"/>
      </w:tcPr>
    </w:tblStylePr>
    <w:tblStylePr w:type="lastRow">
      <w:pPr>
        <w:spacing w:before="0" w:after="0"/>
      </w:pPr>
      <w:rPr>
        <w:rFonts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45">
    <w:name w:val="Light List - Accent 6"/>
    <w:basedOn w:val="17"/>
    <w:qFormat/>
    <w:uiPriority w:val="61"/>
    <w:rPr>
      <w:rFonts w:ascii="Calibri" w:hAnsi="Calibri" w:eastAsia="宋体" w:cs="Times New Roman"/>
      <w:kern w:val="0"/>
      <w:sz w:val="20"/>
      <w:szCs w:val="20"/>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F79646"/>
      </w:tcPr>
    </w:tblStylePr>
    <w:tblStylePr w:type="lastRow">
      <w:pPr>
        <w:spacing w:before="0" w:after="0"/>
      </w:pPr>
      <w:rPr>
        <w:rFonts w:cs="Times New Roman"/>
        <w:b/>
        <w:bCs/>
      </w:r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customStyle="1" w:styleId="46">
    <w:name w:val="Light Grid - Accent 2"/>
    <w:basedOn w:val="17"/>
    <w:qFormat/>
    <w:uiPriority w:val="62"/>
    <w:rPr>
      <w:rFonts w:ascii="Calibri" w:hAnsi="Calibri" w:eastAsia="宋体" w:cs="Times New Roman"/>
      <w:kern w:val="0"/>
      <w:sz w:val="20"/>
      <w:szCs w:val="2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C0504D" w:sz="8" w:space="0"/>
          <w:left w:val="single" w:color="C0504D" w:sz="18" w:space="0"/>
          <w:bottom w:val="single" w:color="C0504D" w:sz="8" w:space="0"/>
          <w:right w:val="single" w:color="C0504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3"/>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3"/>
      </w:tcPr>
    </w:tblStylePr>
    <w:tblStylePr w:type="band2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customStyle="1" w:styleId="47">
    <w:name w:val="Light Grid - Accent 4"/>
    <w:basedOn w:val="17"/>
    <w:qFormat/>
    <w:uiPriority w:val="62"/>
    <w:rPr>
      <w:rFonts w:ascii="Calibri" w:hAnsi="Calibri" w:eastAsia="宋体" w:cs="Times New Roman"/>
      <w:kern w:val="0"/>
      <w:sz w:val="20"/>
      <w:szCs w:val="2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8064A2" w:sz="8" w:space="0"/>
          <w:left w:val="single" w:color="8064A2" w:sz="18" w:space="0"/>
          <w:bottom w:val="single" w:color="8064A2" w:sz="8" w:space="0"/>
          <w:right w:val="single" w:color="8064A2"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8064A2" w:sz="6" w:space="0"/>
          <w:left w:val="single" w:color="8064A2" w:sz="8" w:space="0"/>
          <w:bottom w:val="single" w:color="8064A2" w:sz="8" w:space="0"/>
          <w:right w:val="single" w:color="8064A2"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shd w:val="clear" w:color="auto" w:fill="DFD8E8"/>
      </w:tcPr>
    </w:tblStylePr>
    <w:tblStylePr w:type="band2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tcPr>
    </w:tblStylePr>
  </w:style>
  <w:style w:type="table" w:customStyle="1" w:styleId="48">
    <w:name w:val="Light Grid - Accent 5"/>
    <w:basedOn w:val="17"/>
    <w:qFormat/>
    <w:uiPriority w:val="62"/>
    <w:rPr>
      <w:rFonts w:ascii="Calibri" w:hAnsi="Calibri" w:eastAsia="宋体" w:cs="Times New Roman"/>
      <w:kern w:val="0"/>
      <w:sz w:val="20"/>
      <w:szCs w:val="2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BACC6" w:sz="8" w:space="0"/>
          <w:left w:val="single" w:color="4BACC6" w:sz="18" w:space="0"/>
          <w:bottom w:val="single" w:color="4BACC6" w:sz="8" w:space="0"/>
          <w:right w:val="single" w:color="4BACC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0"/>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0"/>
      </w:tcPr>
    </w:tblStylePr>
    <w:tblStylePr w:type="band2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49">
    <w:name w:val="Light Grid - Accent 6"/>
    <w:basedOn w:val="17"/>
    <w:qFormat/>
    <w:uiPriority w:val="62"/>
    <w:rPr>
      <w:rFonts w:ascii="Calibri" w:hAnsi="Calibri" w:eastAsia="宋体" w:cs="Times New Roman"/>
      <w:kern w:val="0"/>
      <w:sz w:val="20"/>
      <w:szCs w:val="2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F79646" w:sz="8" w:space="0"/>
          <w:left w:val="single" w:color="F79646" w:sz="18" w:space="0"/>
          <w:bottom w:val="single" w:color="F79646" w:sz="8" w:space="0"/>
          <w:right w:val="single" w:color="F7964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shd w:val="clear" w:color="auto" w:fill="FDE5D1"/>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shd w:val="clear" w:color="auto" w:fill="FDE5D1"/>
      </w:tcPr>
    </w:tblStylePr>
    <w:tblStylePr w:type="band2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tcPr>
    </w:tblStylePr>
  </w:style>
  <w:style w:type="table" w:customStyle="1" w:styleId="50">
    <w:name w:val="Medium Shading 1 - Accent 5"/>
    <w:basedOn w:val="17"/>
    <w:qFormat/>
    <w:uiPriority w:val="63"/>
    <w:rPr>
      <w:rFonts w:ascii="Calibri" w:hAnsi="Calibri" w:eastAsia="宋体" w:cs="Times New Roman"/>
      <w:kern w:val="0"/>
      <w:sz w:val="20"/>
      <w:szCs w:val="20"/>
    </w:r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pPr>
      <w:rPr>
        <w:rFonts w:cs="Times New Roman"/>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2EAF0"/>
      </w:tcPr>
    </w:tblStylePr>
    <w:tblStylePr w:type="band1Horz">
      <w:rPr>
        <w:rFonts w:cs="Times New Roman"/>
      </w:rPr>
      <w:tcPr>
        <w:shd w:val="clear" w:color="auto" w:fill="D2EAF0"/>
      </w:tcPr>
    </w:tblStylePr>
    <w:tblStylePr w:type="band2Horz">
      <w:rPr>
        <w:rFonts w:cs="Times New Roman"/>
      </w:rPr>
      <w:tcPr>
        <w:tcBorders>
          <w:insideH w:val="nil"/>
          <w:insideV w:val="nil"/>
        </w:tcBorders>
      </w:tcPr>
    </w:tblStylePr>
  </w:style>
  <w:style w:type="table" w:customStyle="1" w:styleId="51">
    <w:name w:val="Medium Shading 1 - Accent 6"/>
    <w:basedOn w:val="17"/>
    <w:qFormat/>
    <w:uiPriority w:val="63"/>
    <w:rPr>
      <w:rFonts w:ascii="Calibri" w:hAnsi="Calibri" w:eastAsia="宋体" w:cs="Times New Roman"/>
      <w:kern w:val="0"/>
      <w:sz w:val="20"/>
      <w:szCs w:val="20"/>
    </w:rPr>
    <w:tblPr>
      <w:tblBorders>
        <w:top w:val="single" w:color="F9B074" w:sz="8" w:space="0"/>
        <w:left w:val="single" w:color="F9B074" w:sz="8" w:space="0"/>
        <w:bottom w:val="single" w:color="F9B074" w:sz="8" w:space="0"/>
        <w:right w:val="single" w:color="F9B074" w:sz="8" w:space="0"/>
        <w:insideH w:val="single" w:color="F9B074"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pPr>
      <w:rPr>
        <w:rFonts w:cs="Times New Roman"/>
        <w:b/>
        <w:bCs/>
      </w:r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DE5D1"/>
      </w:tcPr>
    </w:tblStylePr>
    <w:tblStylePr w:type="band1Horz">
      <w:rPr>
        <w:rFonts w:cs="Times New Roman"/>
      </w:rPr>
      <w:tcPr>
        <w:shd w:val="clear" w:color="auto" w:fill="FDE5D1"/>
      </w:tcPr>
    </w:tblStylePr>
    <w:tblStylePr w:type="band2Horz">
      <w:rPr>
        <w:rFonts w:cs="Times New Roman"/>
      </w:rPr>
      <w:tcPr>
        <w:tcBorders>
          <w:insideH w:val="nil"/>
          <w:insideV w:val="nil"/>
        </w:tcBorders>
      </w:tcPr>
    </w:tblStylePr>
  </w:style>
  <w:style w:type="table" w:customStyle="1" w:styleId="52">
    <w:name w:val="Medium Shading 2 - Accent 2"/>
    <w:basedOn w:val="17"/>
    <w:qFormat/>
    <w:uiPriority w:val="64"/>
    <w:rPr>
      <w:rFonts w:ascii="Calibri" w:hAnsi="Calibri" w:eastAsia="宋体" w:cs="Times New Roman"/>
      <w:kern w:val="0"/>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C0504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C0504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C0504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3">
    <w:name w:val="Medium Shading 2 - Accent 3"/>
    <w:basedOn w:val="17"/>
    <w:qFormat/>
    <w:uiPriority w:val="64"/>
    <w:rPr>
      <w:rFonts w:ascii="Calibri" w:hAnsi="Calibri" w:eastAsia="宋体" w:cs="Times New Roman"/>
      <w:kern w:val="0"/>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9BBB59"/>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9BBB59"/>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9BBB59"/>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4">
    <w:name w:val="Medium Shading 2 - Accent 5"/>
    <w:basedOn w:val="17"/>
    <w:qFormat/>
    <w:uiPriority w:val="64"/>
    <w:rPr>
      <w:rFonts w:ascii="Calibri" w:hAnsi="Calibri" w:eastAsia="宋体" w:cs="Times New Roman"/>
      <w:kern w:val="0"/>
      <w:sz w:val="22"/>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BACC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BACC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BACC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5">
    <w:name w:val="Medium Shading 2 - Accent 6"/>
    <w:basedOn w:val="17"/>
    <w:qFormat/>
    <w:uiPriority w:val="64"/>
    <w:rPr>
      <w:rFonts w:ascii="Calibri" w:hAnsi="Calibri" w:eastAsia="宋体" w:cs="Times New Roman"/>
      <w:kern w:val="0"/>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F7964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F7964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F7964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56">
    <w:name w:val="Medium List 1 - Accent 2"/>
    <w:basedOn w:val="17"/>
    <w:qFormat/>
    <w:uiPriority w:val="65"/>
    <w:rPr>
      <w:rFonts w:ascii="Calibri" w:hAnsi="Calibri" w:eastAsia="宋体" w:cs="Times New Roman"/>
      <w:color w:val="000000"/>
      <w:kern w:val="0"/>
      <w:sz w:val="20"/>
      <w:szCs w:val="20"/>
    </w:rPr>
    <w:tblPr>
      <w:tblBorders>
        <w:top w:val="single" w:color="C0504D" w:sz="8" w:space="0"/>
        <w:bottom w:val="single" w:color="C0504D"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C0504D" w:sz="8" w:space="0"/>
          <w:bottom w:val="nil"/>
          <w:right w:val="nil"/>
          <w:insideH w:val="nil"/>
          <w:insideV w:val="nil"/>
          <w:tl2br w:val="nil"/>
          <w:tr2bl w:val="nil"/>
        </w:tcBorders>
      </w:tcPr>
    </w:tblStylePr>
    <w:tblStylePr w:type="lastRow">
      <w:rPr>
        <w:rFonts w:cs="Times New Roman"/>
        <w:b/>
        <w:bCs/>
        <w:color w:val="1F497D"/>
      </w:rPr>
      <w:tcPr>
        <w:tcBorders>
          <w:top w:val="single" w:color="C0504D" w:sz="8" w:space="0"/>
          <w:left w:val="single" w:color="C0504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C0504D" w:sz="8" w:space="0"/>
          <w:left w:val="single" w:color="C0504D" w:sz="8" w:space="0"/>
          <w:bottom w:val="nil"/>
          <w:right w:val="nil"/>
          <w:insideH w:val="nil"/>
          <w:insideV w:val="nil"/>
          <w:tl2br w:val="nil"/>
          <w:tr2bl w:val="nil"/>
        </w:tcBorders>
      </w:tcPr>
    </w:tblStylePr>
    <w:tblStylePr w:type="band1Vert">
      <w:rPr>
        <w:rFonts w:cs="Times New Roman"/>
      </w:rPr>
      <w:tcPr>
        <w:shd w:val="clear" w:color="auto" w:fill="EFD3D3"/>
      </w:tcPr>
    </w:tblStylePr>
    <w:tblStylePr w:type="band1Horz">
      <w:rPr>
        <w:rFonts w:cs="Times New Roman"/>
      </w:rPr>
      <w:tcPr>
        <w:shd w:val="clear" w:color="auto" w:fill="EFD3D3"/>
      </w:tcPr>
    </w:tblStylePr>
  </w:style>
  <w:style w:type="table" w:customStyle="1" w:styleId="57">
    <w:name w:val="Medium List 1 - Accent 5"/>
    <w:basedOn w:val="17"/>
    <w:qFormat/>
    <w:uiPriority w:val="65"/>
    <w:rPr>
      <w:rFonts w:ascii="Calibri" w:hAnsi="Calibri" w:eastAsia="宋体" w:cs="Times New Roman"/>
      <w:color w:val="000000"/>
      <w:kern w:val="0"/>
      <w:sz w:val="20"/>
      <w:szCs w:val="20"/>
    </w:rPr>
    <w:tblPr>
      <w:tblBorders>
        <w:top w:val="single" w:color="4BACC6" w:sz="8" w:space="0"/>
        <w:bottom w:val="single" w:color="4BACC6"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BACC6" w:sz="8" w:space="0"/>
          <w:bottom w:val="nil"/>
          <w:right w:val="nil"/>
          <w:insideH w:val="nil"/>
          <w:insideV w:val="nil"/>
          <w:tl2br w:val="nil"/>
          <w:tr2bl w:val="nil"/>
        </w:tcBorders>
      </w:tcPr>
    </w:tblStylePr>
    <w:tblStylePr w:type="lastRow">
      <w:rPr>
        <w:rFonts w:cs="Times New Roman"/>
        <w:b/>
        <w:bCs/>
        <w:color w:val="1F497D"/>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band1Vert">
      <w:rPr>
        <w:rFonts w:cs="Times New Roman"/>
      </w:rPr>
      <w:tcPr>
        <w:shd w:val="clear" w:color="auto" w:fill="D2EAF0"/>
      </w:tcPr>
    </w:tblStylePr>
    <w:tblStylePr w:type="band1Horz">
      <w:rPr>
        <w:rFonts w:cs="Times New Roman"/>
      </w:rPr>
      <w:tcPr>
        <w:shd w:val="clear" w:color="auto" w:fill="D2EAF0"/>
      </w:tcPr>
    </w:tblStylePr>
  </w:style>
  <w:style w:type="table" w:customStyle="1" w:styleId="58">
    <w:name w:val="Medium List 2 - Accent 1"/>
    <w:basedOn w:val="17"/>
    <w:qFormat/>
    <w:uiPriority w:val="66"/>
    <w:rPr>
      <w:rFonts w:ascii="Cambria" w:hAnsi="Cambria" w:eastAsia="宋体" w:cs="Times New Roman"/>
      <w:color w:val="000000"/>
      <w:kern w:val="0"/>
      <w:sz w:val="22"/>
      <w:szCs w:val="20"/>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rFonts w:cs="Times New Roman"/>
        <w:sz w:val="24"/>
        <w:szCs w:val="24"/>
      </w:rPr>
      <w:tcPr>
        <w:tcBorders>
          <w:top w:val="nil"/>
          <w:left w:val="single" w:color="4F81BD" w:sz="24" w:space="0"/>
          <w:bottom w:val="nil"/>
          <w:right w:val="nil"/>
          <w:insideH w:val="nil"/>
          <w:insideV w:val="nil"/>
          <w:tl2br w:val="nil"/>
          <w:tr2bl w:val="nil"/>
        </w:tcBorders>
        <w:shd w:val="clear" w:color="auto" w:fill="FFFFFF"/>
      </w:tcPr>
    </w:tblStylePr>
    <w:tblStylePr w:type="lastRow">
      <w:rPr>
        <w:rFonts w:cs="Times New Roman"/>
      </w:rPr>
      <w:tcPr>
        <w:tcBorders>
          <w:top w:val="single" w:color="4F81B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F81BD" w:sz="8" w:space="0"/>
          <w:insideH w:val="nil"/>
          <w:insideV w:val="nil"/>
          <w:tl2br w:val="nil"/>
          <w:tr2bl w:val="nil"/>
        </w:tcBorders>
        <w:shd w:val="clear" w:color="auto" w:fill="FFFFFF"/>
      </w:tcPr>
    </w:tblStylePr>
    <w:tblStylePr w:type="lastCol">
      <w:rPr>
        <w:rFonts w:cs="Times New Roman"/>
      </w:rPr>
      <w:tcPr>
        <w:tcBorders>
          <w:top w:val="nil"/>
          <w:left w:val="nil"/>
          <w:bottom w:val="single" w:color="4F81B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59">
    <w:name w:val="Medium List 2 - Accent 2"/>
    <w:basedOn w:val="17"/>
    <w:qFormat/>
    <w:uiPriority w:val="66"/>
    <w:rPr>
      <w:rFonts w:ascii="Cambria" w:hAnsi="Cambria" w:eastAsia="宋体" w:cs="Times New Roman"/>
      <w:color w:val="000000"/>
      <w:kern w:val="0"/>
      <w:sz w:val="20"/>
      <w:szCs w:val="20"/>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rPr>
        <w:rFonts w:cs="Times New Roman"/>
        <w:sz w:val="24"/>
        <w:szCs w:val="24"/>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rPr>
      <w:tcPr>
        <w:tcBorders>
          <w:top w:val="single" w:color="C0504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C0504D" w:sz="8" w:space="0"/>
          <w:insideH w:val="nil"/>
          <w:insideV w:val="nil"/>
          <w:tl2br w:val="nil"/>
          <w:tr2bl w:val="nil"/>
        </w:tcBorders>
        <w:shd w:val="clear" w:color="auto" w:fill="FFFFFF"/>
      </w:tcPr>
    </w:tblStylePr>
    <w:tblStylePr w:type="lastCol">
      <w:rPr>
        <w:rFonts w:cs="Times New Roman"/>
      </w:rPr>
      <w:tcPr>
        <w:tcBorders>
          <w:top w:val="nil"/>
          <w:left w:val="nil"/>
          <w:bottom w:val="single" w:color="C0504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tcBorders>
          <w:top w:val="nil"/>
          <w:left w:val="nil"/>
          <w:bottom w:val="nil"/>
          <w:right w:val="nil"/>
          <w:insideH w:val="nil"/>
          <w:insideV w:val="nil"/>
          <w:tl2br w:val="nil"/>
          <w:tr2bl w:val="nil"/>
        </w:tcBorders>
        <w:shd w:val="clear" w:color="auto" w:fill="EFD3D3"/>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60">
    <w:name w:val="Medium List 2 - Accent 3"/>
    <w:basedOn w:val="17"/>
    <w:qFormat/>
    <w:uiPriority w:val="66"/>
    <w:rPr>
      <w:rFonts w:ascii="Cambria" w:hAnsi="Cambria" w:eastAsia="宋体" w:cs="Times New Roman"/>
      <w:color w:val="000000"/>
      <w:kern w:val="0"/>
      <w:sz w:val="20"/>
      <w:szCs w:val="20"/>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rPr>
        <w:rFonts w:cs="Times New Roman"/>
        <w:sz w:val="24"/>
        <w:szCs w:val="24"/>
      </w:rPr>
      <w:tcPr>
        <w:tcBorders>
          <w:top w:val="nil"/>
          <w:left w:val="single" w:color="9BBB59" w:sz="24" w:space="0"/>
          <w:bottom w:val="nil"/>
          <w:right w:val="nil"/>
          <w:insideH w:val="nil"/>
          <w:insideV w:val="nil"/>
          <w:tl2br w:val="nil"/>
          <w:tr2bl w:val="nil"/>
        </w:tcBorders>
        <w:shd w:val="clear" w:color="auto" w:fill="FFFFFF"/>
      </w:tcPr>
    </w:tblStylePr>
    <w:tblStylePr w:type="lastRow">
      <w:rPr>
        <w:rFonts w:cs="Times New Roman"/>
      </w:rPr>
      <w:tcPr>
        <w:tcBorders>
          <w:top w:val="single" w:color="9BBB59"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9BBB59" w:sz="8" w:space="0"/>
          <w:insideH w:val="nil"/>
          <w:insideV w:val="nil"/>
          <w:tl2br w:val="nil"/>
          <w:tr2bl w:val="nil"/>
        </w:tcBorders>
        <w:shd w:val="clear" w:color="auto" w:fill="FFFFFF"/>
      </w:tcPr>
    </w:tblStylePr>
    <w:tblStylePr w:type="lastCol">
      <w:rPr>
        <w:rFonts w:cs="Times New Roman"/>
      </w:rPr>
      <w:tcPr>
        <w:tcBorders>
          <w:top w:val="nil"/>
          <w:left w:val="nil"/>
          <w:bottom w:val="single" w:color="9BBB59"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61">
    <w:name w:val="Medium List 2 - Accent 5"/>
    <w:basedOn w:val="17"/>
    <w:qFormat/>
    <w:uiPriority w:val="66"/>
    <w:rPr>
      <w:rFonts w:ascii="Cambria" w:hAnsi="Cambria" w:eastAsia="宋体" w:cs="Times New Roman"/>
      <w:color w:val="000000"/>
      <w:kern w:val="0"/>
      <w:sz w:val="20"/>
      <w:szCs w:val="2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rFonts w:cs="Times New Roman"/>
        <w:sz w:val="24"/>
        <w:szCs w:val="24"/>
      </w:rPr>
      <w:tcPr>
        <w:tcBorders>
          <w:top w:val="nil"/>
          <w:left w:val="single" w:color="4BACC6" w:sz="24" w:space="0"/>
          <w:bottom w:val="nil"/>
          <w:right w:val="nil"/>
          <w:insideH w:val="nil"/>
          <w:insideV w:val="nil"/>
          <w:tl2br w:val="nil"/>
          <w:tr2bl w:val="nil"/>
        </w:tcBorders>
        <w:shd w:val="clear" w:color="auto" w:fill="FFFFFF"/>
      </w:tcPr>
    </w:tblStylePr>
    <w:tblStylePr w:type="lastRow">
      <w:rPr>
        <w:rFonts w:cs="Times New Roman"/>
      </w:rPr>
      <w:tcPr>
        <w:tcBorders>
          <w:top w:val="single" w:color="4BACC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BACC6" w:sz="8" w:space="0"/>
          <w:insideH w:val="nil"/>
          <w:insideV w:val="nil"/>
          <w:tl2br w:val="nil"/>
          <w:tr2bl w:val="nil"/>
        </w:tcBorders>
        <w:shd w:val="clear" w:color="auto" w:fill="FFFFFF"/>
      </w:tcPr>
    </w:tblStylePr>
    <w:tblStylePr w:type="lastCol">
      <w:rPr>
        <w:rFonts w:cs="Times New Roman"/>
      </w:rPr>
      <w:tcPr>
        <w:tcBorders>
          <w:top w:val="nil"/>
          <w:left w:val="nil"/>
          <w:bottom w:val="single" w:color="4BACC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62">
    <w:name w:val="Medium List 2 - Accent 6"/>
    <w:basedOn w:val="17"/>
    <w:qFormat/>
    <w:uiPriority w:val="66"/>
    <w:rPr>
      <w:rFonts w:ascii="Cambria" w:hAnsi="Cambria" w:eastAsia="宋体" w:cs="Times New Roman"/>
      <w:color w:val="000000"/>
      <w:kern w:val="0"/>
      <w:sz w:val="20"/>
      <w:szCs w:val="20"/>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rPr>
        <w:rFonts w:cs="Times New Roman"/>
        <w:sz w:val="24"/>
        <w:szCs w:val="24"/>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rPr>
      <w:tcPr>
        <w:tcBorders>
          <w:top w:val="single" w:color="F7964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F79646" w:sz="8" w:space="0"/>
          <w:insideH w:val="nil"/>
          <w:insideV w:val="nil"/>
          <w:tl2br w:val="nil"/>
          <w:tr2bl w:val="nil"/>
        </w:tcBorders>
        <w:shd w:val="clear" w:color="auto" w:fill="FFFFFF"/>
      </w:tcPr>
    </w:tblStylePr>
    <w:tblStylePr w:type="lastCol">
      <w:rPr>
        <w:rFonts w:cs="Times New Roman"/>
      </w:rPr>
      <w:tcPr>
        <w:tcBorders>
          <w:top w:val="nil"/>
          <w:left w:val="nil"/>
          <w:bottom w:val="single" w:color="F7964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tcBorders>
          <w:top w:val="nil"/>
          <w:left w:val="nil"/>
          <w:bottom w:val="nil"/>
          <w:right w:val="nil"/>
          <w:insideH w:val="nil"/>
          <w:insideV w:val="nil"/>
          <w:tl2br w:val="nil"/>
          <w:tr2bl w:val="nil"/>
        </w:tcBorders>
        <w:shd w:val="clear" w:color="auto" w:fill="FDE5D1"/>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63">
    <w:name w:val="Medium Grid 1 - Accent 1"/>
    <w:basedOn w:val="17"/>
    <w:qFormat/>
    <w:uiPriority w:val="67"/>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cPr>
        <w:tcBorders>
          <w:top w:val="single" w:color="7BA0CD"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7C0DE"/>
      </w:tcPr>
    </w:tblStylePr>
    <w:tblStylePr w:type="band1Horz">
      <w:rPr>
        <w:rFonts w:cs="Times New Roman"/>
      </w:rPr>
      <w:tcPr>
        <w:shd w:val="clear" w:color="auto" w:fill="A7C0DE"/>
      </w:tcPr>
    </w:tblStylePr>
  </w:style>
  <w:style w:type="table" w:customStyle="1" w:styleId="64">
    <w:name w:val="Medium Grid 1 - Accent 2"/>
    <w:basedOn w:val="17"/>
    <w:qFormat/>
    <w:uiPriority w:val="67"/>
    <w:rPr>
      <w:rFonts w:ascii="Calibri" w:hAnsi="Calibri" w:eastAsia="宋体" w:cs="Times New Roman"/>
      <w:kern w:val="0"/>
      <w:sz w:val="20"/>
      <w:szCs w:val="20"/>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3"/>
    </w:tcPr>
    <w:tblStylePr w:type="firstRow">
      <w:rPr>
        <w:rFonts w:cs="Times New Roman"/>
        <w:b/>
        <w:bCs/>
      </w:rPr>
    </w:tblStylePr>
    <w:tblStylePr w:type="lastRow">
      <w:rPr>
        <w:rFonts w:cs="Times New Roman"/>
        <w:b/>
        <w:bCs/>
      </w:rPr>
      <w:tcPr>
        <w:tcBorders>
          <w:top w:val="single" w:color="CF7B7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FA7A6"/>
      </w:tcPr>
    </w:tblStylePr>
    <w:tblStylePr w:type="band1Horz">
      <w:rPr>
        <w:rFonts w:cs="Times New Roman"/>
      </w:rPr>
      <w:tcPr>
        <w:shd w:val="clear" w:color="auto" w:fill="DFA7A6"/>
      </w:tcPr>
    </w:tblStylePr>
  </w:style>
  <w:style w:type="table" w:customStyle="1" w:styleId="65">
    <w:name w:val="Medium Grid 1 - Accent 3"/>
    <w:basedOn w:val="17"/>
    <w:qFormat/>
    <w:uiPriority w:val="67"/>
    <w:rPr>
      <w:rFonts w:ascii="Calibri" w:hAnsi="Calibri" w:eastAsia="宋体" w:cs="Times New Roman"/>
      <w:kern w:val="0"/>
      <w:sz w:val="20"/>
      <w:szCs w:val="20"/>
    </w:rPr>
    <w:tblPr>
      <w:tblBorders>
        <w:top w:val="single" w:color="B4CC82" w:sz="8" w:space="0"/>
        <w:left w:val="single" w:color="B4CC82" w:sz="8" w:space="0"/>
        <w:bottom w:val="single" w:color="B4CC82" w:sz="8" w:space="0"/>
        <w:right w:val="single" w:color="B4CC82" w:sz="8" w:space="0"/>
        <w:insideH w:val="single" w:color="B4CC82" w:sz="8" w:space="0"/>
        <w:insideV w:val="single" w:color="B4CC82" w:sz="8" w:space="0"/>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cPr>
        <w:tcBorders>
          <w:top w:val="single" w:color="B4CC82"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CDDDAC"/>
      </w:tcPr>
    </w:tblStylePr>
    <w:tblStylePr w:type="band1Horz">
      <w:rPr>
        <w:rFonts w:cs="Times New Roman"/>
      </w:rPr>
      <w:tcPr>
        <w:shd w:val="clear" w:color="auto" w:fill="CDDDAC"/>
      </w:tcPr>
    </w:tblStylePr>
  </w:style>
  <w:style w:type="table" w:customStyle="1" w:styleId="66">
    <w:name w:val="Medium Grid 1 - Accent 4"/>
    <w:basedOn w:val="17"/>
    <w:qFormat/>
    <w:uiPriority w:val="67"/>
    <w:rPr>
      <w:rFonts w:ascii="Calibri" w:hAnsi="Calibri" w:eastAsia="宋体" w:cs="Times New Roman"/>
      <w:kern w:val="0"/>
      <w:sz w:val="20"/>
      <w:szCs w:val="20"/>
    </w:rPr>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cPr>
        <w:tcBorders>
          <w:top w:val="single" w:color="9F8AB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67">
    <w:name w:val="Medium Grid 1 - Accent 5"/>
    <w:basedOn w:val="17"/>
    <w:qFormat/>
    <w:uiPriority w:val="67"/>
    <w:rPr>
      <w:rFonts w:ascii="Calibri" w:hAnsi="Calibri" w:eastAsia="宋体" w:cs="Times New Roman"/>
      <w:kern w:val="0"/>
      <w:sz w:val="20"/>
      <w:szCs w:val="20"/>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0"/>
    </w:tcPr>
    <w:tblStylePr w:type="firstRow">
      <w:rPr>
        <w:rFonts w:cs="Times New Roman"/>
        <w:b/>
        <w:bCs/>
      </w:rPr>
    </w:tblStylePr>
    <w:tblStylePr w:type="lastRow">
      <w:rPr>
        <w:rFonts w:cs="Times New Roman"/>
        <w:b/>
        <w:bCs/>
      </w:rPr>
      <w:tcPr>
        <w:tcBorders>
          <w:top w:val="single" w:color="78C0D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68">
    <w:name w:val="Medium Grid 1 - Accent 6"/>
    <w:basedOn w:val="17"/>
    <w:qFormat/>
    <w:uiPriority w:val="67"/>
    <w:rPr>
      <w:rFonts w:ascii="Calibri" w:hAnsi="Calibri" w:eastAsia="宋体" w:cs="Times New Roman"/>
      <w:kern w:val="0"/>
      <w:sz w:val="20"/>
      <w:szCs w:val="20"/>
    </w:rPr>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CellMar>
        <w:top w:w="0" w:type="dxa"/>
        <w:left w:w="108" w:type="dxa"/>
        <w:bottom w:w="0" w:type="dxa"/>
        <w:right w:w="108" w:type="dxa"/>
      </w:tblCellMar>
    </w:tblPr>
    <w:tcPr>
      <w:shd w:val="clear" w:color="auto" w:fill="FDE5D1"/>
    </w:tcPr>
    <w:tblStylePr w:type="firstRow">
      <w:rPr>
        <w:rFonts w:cs="Times New Roman"/>
        <w:b/>
        <w:bCs/>
      </w:rPr>
    </w:tblStylePr>
    <w:tblStylePr w:type="lastRow">
      <w:rPr>
        <w:rFonts w:cs="Times New Roman"/>
        <w:b/>
        <w:bCs/>
      </w:rPr>
      <w:tcPr>
        <w:tcBorders>
          <w:top w:val="single" w:color="F9B07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table" w:customStyle="1" w:styleId="69">
    <w:name w:val="Medium Grid 2 - Accent 3"/>
    <w:basedOn w:val="17"/>
    <w:qFormat/>
    <w:uiPriority w:val="68"/>
    <w:rPr>
      <w:rFonts w:ascii="Cambria" w:hAnsi="Cambria" w:eastAsia="宋体" w:cs="Times New Roman"/>
      <w:color w:val="000000"/>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cPr>
      <w:shd w:val="clear" w:color="auto" w:fill="E6EED5"/>
    </w:tcPr>
    <w:tblStylePr w:type="firstRow">
      <w:rPr>
        <w:rFonts w:cs="Times New Roman"/>
        <w:b/>
        <w:bCs/>
        <w:color w:val="000000"/>
      </w:rPr>
      <w:tcPr>
        <w:shd w:val="clear" w:color="auto" w:fill="F5F8EE"/>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EAF1DD"/>
      </w:tcPr>
    </w:tblStylePr>
    <w:tblStylePr w:type="band1Vert">
      <w:rPr>
        <w:rFonts w:cs="Times New Roman"/>
      </w:rPr>
      <w:tcPr>
        <w:shd w:val="clear" w:color="auto" w:fill="CDDDAC"/>
      </w:tcPr>
    </w:tblStylePr>
    <w:tblStylePr w:type="band1Horz">
      <w:rPr>
        <w:rFonts w:cs="Times New Roman"/>
      </w:rPr>
      <w:tcPr>
        <w:shd w:val="clear" w:color="auto" w:fill="CDDDAC"/>
      </w:tcPr>
    </w:tblStylePr>
    <w:tblStylePr w:type="nwCell">
      <w:rPr>
        <w:rFonts w:cs="Times New Roman"/>
      </w:rPr>
      <w:tcPr>
        <w:shd w:val="clear" w:color="auto" w:fill="FFFFFF"/>
      </w:tcPr>
    </w:tblStylePr>
  </w:style>
  <w:style w:type="table" w:customStyle="1" w:styleId="70">
    <w:name w:val="Medium Grid 2 - Accent 5"/>
    <w:basedOn w:val="17"/>
    <w:qFormat/>
    <w:uiPriority w:val="68"/>
    <w:rPr>
      <w:rFonts w:ascii="Cambria" w:hAnsi="Cambria" w:eastAsia="宋体" w:cs="Times New Roman"/>
      <w:color w:val="000000"/>
      <w:kern w:val="0"/>
      <w:sz w:val="20"/>
      <w:szCs w:val="2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cPr>
      <w:shd w:val="clear" w:color="auto" w:fill="D2EAF0"/>
    </w:tcPr>
    <w:tblStylePr w:type="firstRow">
      <w:rPr>
        <w:rFonts w:cs="Times New Roman"/>
        <w:b/>
        <w:bCs/>
        <w:color w:val="000000"/>
      </w:rPr>
      <w:tcPr>
        <w:shd w:val="clear" w:color="auto" w:fill="EDF6F9"/>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DAEEF3"/>
      </w:tcPr>
    </w:tblStylePr>
    <w:tblStylePr w:type="band1Vert">
      <w:rPr>
        <w:rFonts w:cs="Times New Roman"/>
      </w:rPr>
      <w:tcPr>
        <w:shd w:val="clear" w:color="auto" w:fill="A5D5E2"/>
      </w:tcPr>
    </w:tblStylePr>
    <w:tblStylePr w:type="band1Horz">
      <w:rPr>
        <w:rFonts w:cs="Times New Roman"/>
      </w:rPr>
      <w:tcPr>
        <w:shd w:val="clear" w:color="auto" w:fill="A5D5E2"/>
      </w:tcPr>
    </w:tblStylePr>
    <w:tblStylePr w:type="nwCell">
      <w:rPr>
        <w:rFonts w:cs="Times New Roman"/>
      </w:rPr>
      <w:tcPr>
        <w:shd w:val="clear" w:color="auto" w:fill="FFFFFF"/>
      </w:tcPr>
    </w:tblStylePr>
  </w:style>
  <w:style w:type="table" w:customStyle="1" w:styleId="71">
    <w:name w:val="Medium Grid 3 - Accent 1"/>
    <w:basedOn w:val="17"/>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F81B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F81B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F81B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C0DE"/>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C0DE"/>
      </w:tcPr>
    </w:tblStylePr>
  </w:style>
  <w:style w:type="table" w:customStyle="1" w:styleId="72">
    <w:name w:val="Medium Grid 3 - Accent 2"/>
    <w:basedOn w:val="17"/>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3"/>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C0504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C0504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C0504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customStyle="1" w:styleId="73">
    <w:name w:val="Medium Grid 3 - Accent 4"/>
    <w:basedOn w:val="17"/>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8064A2"/>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8064A2"/>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8064A2"/>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customStyle="1" w:styleId="74">
    <w:name w:val="Medium Grid 3 - Accent 5"/>
    <w:basedOn w:val="17"/>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2EAF0"/>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BACC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BACC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BACC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75">
    <w:name w:val="Medium Grid 3 - Accent 6"/>
    <w:basedOn w:val="17"/>
    <w:qFormat/>
    <w:uiPriority w:val="69"/>
    <w:rPr>
      <w:rFonts w:ascii="Calibri" w:hAnsi="Calibri"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5D1"/>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F7964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F7964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F7964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customStyle="1" w:styleId="76">
    <w:name w:val="Dark List - Accent 5"/>
    <w:basedOn w:val="17"/>
    <w:qFormat/>
    <w:uiPriority w:val="70"/>
    <w:rPr>
      <w:rFonts w:ascii="Calibri" w:hAnsi="Calibri" w:eastAsia="宋体" w:cs="Times New Roman"/>
      <w:color w:val="FFFFFF"/>
      <w:kern w:val="0"/>
      <w:sz w:val="20"/>
      <w:szCs w:val="20"/>
    </w:rPr>
    <w:tblPr>
      <w:tblCellMar>
        <w:top w:w="0" w:type="dxa"/>
        <w:left w:w="108" w:type="dxa"/>
        <w:bottom w:w="0" w:type="dxa"/>
        <w:right w:w="108" w:type="dxa"/>
      </w:tblCellMar>
    </w:tblPr>
    <w:tcPr>
      <w:shd w:val="clear" w:color="auto" w:fill="4BACC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205867"/>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31849B"/>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31849B"/>
      </w:tcPr>
    </w:tblStylePr>
    <w:tblStylePr w:type="band1Vert">
      <w:rPr>
        <w:rFonts w:cs="Times New Roman"/>
      </w:rPr>
      <w:tcPr>
        <w:tcBorders>
          <w:top w:val="nil"/>
          <w:left w:val="nil"/>
          <w:bottom w:val="nil"/>
          <w:right w:val="nil"/>
          <w:insideH w:val="nil"/>
          <w:insideV w:val="nil"/>
          <w:tl2br w:val="nil"/>
          <w:tr2bl w:val="nil"/>
        </w:tcBorders>
        <w:shd w:val="clear" w:color="auto" w:fill="31849B"/>
      </w:tcPr>
    </w:tblStylePr>
    <w:tblStylePr w:type="band1Horz">
      <w:rPr>
        <w:rFonts w:cs="Times New Roman"/>
      </w:rPr>
      <w:tcPr>
        <w:tcBorders>
          <w:top w:val="nil"/>
          <w:left w:val="nil"/>
          <w:bottom w:val="nil"/>
          <w:right w:val="nil"/>
          <w:insideH w:val="nil"/>
          <w:insideV w:val="nil"/>
          <w:tl2br w:val="nil"/>
          <w:tr2bl w:val="nil"/>
        </w:tcBorders>
        <w:shd w:val="clear" w:color="auto" w:fill="31849B"/>
      </w:tcPr>
    </w:tblStylePr>
  </w:style>
  <w:style w:type="table" w:customStyle="1" w:styleId="77">
    <w:name w:val="Dark List - Accent 6"/>
    <w:basedOn w:val="17"/>
    <w:qFormat/>
    <w:uiPriority w:val="70"/>
    <w:rPr>
      <w:rFonts w:ascii="Calibri" w:hAnsi="Calibri" w:eastAsia="宋体" w:cs="Times New Roman"/>
      <w:color w:val="FFFFFF"/>
      <w:kern w:val="0"/>
      <w:sz w:val="20"/>
      <w:szCs w:val="20"/>
    </w:rPr>
    <w:tblPr>
      <w:tblCellMar>
        <w:top w:w="0" w:type="dxa"/>
        <w:left w:w="108" w:type="dxa"/>
        <w:bottom w:w="0" w:type="dxa"/>
        <w:right w:w="108" w:type="dxa"/>
      </w:tblCellMar>
    </w:tblPr>
    <w:tcPr>
      <w:shd w:val="clear" w:color="auto" w:fill="F7964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974706"/>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E36C09"/>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E36C09"/>
      </w:tcPr>
    </w:tblStylePr>
    <w:tblStylePr w:type="band1Vert">
      <w:rPr>
        <w:rFonts w:cs="Times New Roman"/>
      </w:rPr>
      <w:tcPr>
        <w:tcBorders>
          <w:top w:val="nil"/>
          <w:left w:val="nil"/>
          <w:bottom w:val="nil"/>
          <w:right w:val="nil"/>
          <w:insideH w:val="nil"/>
          <w:insideV w:val="nil"/>
          <w:tl2br w:val="nil"/>
          <w:tr2bl w:val="nil"/>
        </w:tcBorders>
        <w:shd w:val="clear" w:color="auto" w:fill="E36C09"/>
      </w:tcPr>
    </w:tblStylePr>
    <w:tblStylePr w:type="band1Horz">
      <w:rPr>
        <w:rFonts w:cs="Times New Roman"/>
      </w:rPr>
      <w:tcPr>
        <w:tcBorders>
          <w:top w:val="nil"/>
          <w:left w:val="nil"/>
          <w:bottom w:val="nil"/>
          <w:right w:val="nil"/>
          <w:insideH w:val="nil"/>
          <w:insideV w:val="nil"/>
          <w:tl2br w:val="nil"/>
          <w:tr2bl w:val="nil"/>
        </w:tcBorders>
        <w:shd w:val="clear" w:color="auto" w:fill="E36C09"/>
      </w:tcPr>
    </w:tblStylePr>
  </w:style>
  <w:style w:type="table" w:customStyle="1" w:styleId="78">
    <w:name w:val="Colorful Shading - Accent 1"/>
    <w:basedOn w:val="17"/>
    <w:qFormat/>
    <w:uiPriority w:val="71"/>
    <w:rPr>
      <w:rFonts w:ascii="Calibri" w:hAnsi="Calibri" w:eastAsia="宋体" w:cs="Times New Roman"/>
      <w:color w:val="000000"/>
      <w:kern w:val="0"/>
      <w:sz w:val="20"/>
      <w:szCs w:val="2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CellMar>
        <w:top w:w="0" w:type="dxa"/>
        <w:left w:w="108" w:type="dxa"/>
        <w:bottom w:w="0" w:type="dxa"/>
        <w:right w:w="108" w:type="dxa"/>
      </w:tblCellMar>
    </w:tblPr>
    <w:tcPr>
      <w:shd w:val="clear" w:color="auto" w:fill="EDF2F8"/>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B4D74"/>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B4D74"/>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B4D74"/>
      </w:tcPr>
    </w:tblStylePr>
    <w:tblStylePr w:type="band1Vert">
      <w:rPr>
        <w:rFonts w:cs="Times New Roman"/>
      </w:rPr>
      <w:tcPr>
        <w:shd w:val="clear" w:color="auto" w:fill="B8CCE4"/>
      </w:tcPr>
    </w:tblStylePr>
    <w:tblStylePr w:type="band1Horz">
      <w:rPr>
        <w:rFonts w:cs="Times New Roman"/>
      </w:rPr>
      <w:tcPr>
        <w:shd w:val="clear" w:color="auto" w:fill="A7C0DE"/>
      </w:tcPr>
    </w:tblStylePr>
    <w:tblStylePr w:type="neCell">
      <w:rPr>
        <w:rFonts w:cs="Times New Roman"/>
        <w:color w:val="000000"/>
      </w:rPr>
    </w:tblStylePr>
    <w:tblStylePr w:type="nwCell">
      <w:rPr>
        <w:rFonts w:cs="Times New Roman"/>
        <w:color w:val="000000"/>
      </w:rPr>
    </w:tblStylePr>
  </w:style>
  <w:style w:type="table" w:customStyle="1" w:styleId="79">
    <w:name w:val="Colorful Shading - Accent 2"/>
    <w:basedOn w:val="17"/>
    <w:qFormat/>
    <w:uiPriority w:val="71"/>
    <w:rPr>
      <w:rFonts w:ascii="Calibri" w:hAnsi="Calibri" w:eastAsia="宋体" w:cs="Times New Roman"/>
      <w:color w:val="000000"/>
      <w:kern w:val="0"/>
      <w:sz w:val="20"/>
      <w:szCs w:val="2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CellMar>
        <w:top w:w="0" w:type="dxa"/>
        <w:left w:w="108" w:type="dxa"/>
        <w:bottom w:w="0" w:type="dxa"/>
        <w:right w:w="108" w:type="dxa"/>
      </w:tblCellMar>
    </w:tblPr>
    <w:tcPr>
      <w:shd w:val="clear" w:color="auto" w:fill="F8EDED"/>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772C2A"/>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772C2A"/>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772C2A"/>
      </w:tcPr>
    </w:tblStylePr>
    <w:tblStylePr w:type="band1Vert">
      <w:rPr>
        <w:rFonts w:cs="Times New Roman"/>
      </w:rPr>
      <w:tcPr>
        <w:shd w:val="clear" w:color="auto" w:fill="E5B8B7"/>
      </w:tcPr>
    </w:tblStylePr>
    <w:tblStylePr w:type="band1Horz">
      <w:rPr>
        <w:rFonts w:cs="Times New Roman"/>
      </w:r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80">
    <w:name w:val="Colorful Shading - Accent 3"/>
    <w:basedOn w:val="17"/>
    <w:qFormat/>
    <w:uiPriority w:val="71"/>
    <w:rPr>
      <w:rFonts w:ascii="Calibri" w:hAnsi="Calibri" w:eastAsia="宋体" w:cs="Times New Roman"/>
      <w:color w:val="000000"/>
      <w:kern w:val="0"/>
      <w:sz w:val="20"/>
      <w:szCs w:val="2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CellMar>
        <w:top w:w="0" w:type="dxa"/>
        <w:left w:w="108" w:type="dxa"/>
        <w:bottom w:w="0" w:type="dxa"/>
        <w:right w:w="108" w:type="dxa"/>
      </w:tblCellMar>
    </w:tblPr>
    <w:tcPr>
      <w:shd w:val="clear" w:color="auto" w:fill="F5F8EE"/>
    </w:tcPr>
    <w:tblStylePr w:type="firstRow">
      <w:rPr>
        <w:rFonts w:cs="Times New Roman"/>
        <w:b/>
        <w:bCs/>
      </w:rPr>
      <w:tcPr>
        <w:tcBorders>
          <w:top w:val="nil"/>
          <w:left w:val="single" w:color="8064A2"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5E7530"/>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5E7530"/>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5E7530"/>
      </w:tcPr>
    </w:tblStylePr>
    <w:tblStylePr w:type="band1Vert">
      <w:rPr>
        <w:rFonts w:cs="Times New Roman"/>
      </w:rPr>
      <w:tcPr>
        <w:shd w:val="clear" w:color="auto" w:fill="D6E3BC"/>
      </w:tcPr>
    </w:tblStylePr>
    <w:tblStylePr w:type="band1Horz">
      <w:rPr>
        <w:rFonts w:cs="Times New Roman"/>
      </w:rPr>
      <w:tcPr>
        <w:shd w:val="clear" w:color="auto" w:fill="CDDDAC"/>
      </w:tcPr>
    </w:tblStylePr>
  </w:style>
  <w:style w:type="table" w:customStyle="1" w:styleId="81">
    <w:name w:val="Colorful Shading - Accent 5"/>
    <w:basedOn w:val="17"/>
    <w:qFormat/>
    <w:uiPriority w:val="71"/>
    <w:rPr>
      <w:rFonts w:ascii="Calibri" w:hAnsi="Calibri" w:eastAsia="宋体" w:cs="Times New Roman"/>
      <w:color w:val="000000"/>
      <w:kern w:val="0"/>
      <w:sz w:val="20"/>
      <w:szCs w:val="2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rFonts w:cs="Times New Roman"/>
        <w:b/>
        <w:bCs/>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76A7C"/>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76A7C"/>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76A7C"/>
      </w:tcPr>
    </w:tblStylePr>
    <w:tblStylePr w:type="band1Vert">
      <w:rPr>
        <w:rFonts w:cs="Times New Roman"/>
      </w:rPr>
      <w:tcPr>
        <w:shd w:val="clear" w:color="auto" w:fill="B6DDE8"/>
      </w:tcPr>
    </w:tblStylePr>
    <w:tblStylePr w:type="band1Horz">
      <w:rPr>
        <w:rFonts w:cs="Times New Roman"/>
      </w:r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82">
    <w:name w:val="Colorful List - Accent 1"/>
    <w:basedOn w:val="17"/>
    <w:qFormat/>
    <w:uiPriority w:val="72"/>
    <w:rPr>
      <w:rFonts w:ascii="Calibri" w:hAnsi="Calibri" w:eastAsia="宋体" w:cs="Times New Roman"/>
      <w:color w:val="000000"/>
      <w:kern w:val="0"/>
      <w:sz w:val="20"/>
      <w:szCs w:val="20"/>
    </w:rPr>
    <w:tblPr>
      <w:tblCellMar>
        <w:top w:w="0" w:type="dxa"/>
        <w:left w:w="108" w:type="dxa"/>
        <w:bottom w:w="0" w:type="dxa"/>
        <w:right w:w="108" w:type="dxa"/>
      </w:tblCellMar>
    </w:tblPr>
    <w:tcPr>
      <w:shd w:val="clear" w:color="auto" w:fill="EDF2F8"/>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shd w:val="clear" w:color="auto" w:fill="DBE5F1"/>
      </w:tcPr>
    </w:tblStylePr>
  </w:style>
  <w:style w:type="table" w:customStyle="1" w:styleId="83">
    <w:name w:val="Colorful List - Accent 2"/>
    <w:basedOn w:val="17"/>
    <w:qFormat/>
    <w:uiPriority w:val="72"/>
    <w:rPr>
      <w:rFonts w:ascii="Calibri" w:hAnsi="Calibri" w:eastAsia="宋体" w:cs="Times New Roman"/>
      <w:color w:val="000000"/>
      <w:kern w:val="0"/>
      <w:sz w:val="20"/>
      <w:szCs w:val="20"/>
    </w:rPr>
    <w:tblPr>
      <w:tblCellMar>
        <w:top w:w="0" w:type="dxa"/>
        <w:left w:w="108" w:type="dxa"/>
        <w:bottom w:w="0" w:type="dxa"/>
        <w:right w:w="108" w:type="dxa"/>
      </w:tblCellMar>
    </w:tblPr>
    <w:tcPr>
      <w:shd w:val="clear" w:color="auto" w:fill="F8EDED"/>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shd w:val="clear" w:color="auto" w:fill="F2DBDB"/>
      </w:tcPr>
    </w:tblStylePr>
  </w:style>
  <w:style w:type="table" w:customStyle="1" w:styleId="84">
    <w:name w:val="Colorful List - Accent 4"/>
    <w:basedOn w:val="17"/>
    <w:qFormat/>
    <w:uiPriority w:val="72"/>
    <w:rPr>
      <w:rFonts w:ascii="Calibri" w:hAnsi="Calibri" w:eastAsia="宋体" w:cs="Times New Roman"/>
      <w:color w:val="000000"/>
      <w:kern w:val="0"/>
      <w:sz w:val="20"/>
      <w:szCs w:val="20"/>
    </w:rPr>
    <w:tblPr>
      <w:tblCellMar>
        <w:top w:w="0" w:type="dxa"/>
        <w:left w:w="108" w:type="dxa"/>
        <w:bottom w:w="0" w:type="dxa"/>
        <w:right w:w="108" w:type="dxa"/>
      </w:tblCellMar>
    </w:tblPr>
    <w:tcPr>
      <w:shd w:val="clear" w:color="auto" w:fill="F2EFF5"/>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7E9C40"/>
      </w:tcPr>
    </w:tblStylePr>
    <w:tblStylePr w:type="lastRow">
      <w:rPr>
        <w:rFonts w:cs="Times New Roman"/>
        <w:b/>
        <w:bCs/>
        <w:color w:val="7E9C4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D8E8"/>
      </w:tcPr>
    </w:tblStylePr>
    <w:tblStylePr w:type="band1Horz">
      <w:rPr>
        <w:rFonts w:cs="Times New Roman"/>
      </w:rPr>
      <w:tcPr>
        <w:shd w:val="clear" w:color="auto" w:fill="E5DFEC"/>
      </w:tcPr>
    </w:tblStylePr>
  </w:style>
  <w:style w:type="table" w:customStyle="1" w:styleId="85">
    <w:name w:val="Colorful List - Accent 5"/>
    <w:basedOn w:val="17"/>
    <w:qFormat/>
    <w:uiPriority w:val="72"/>
    <w:rPr>
      <w:rFonts w:ascii="Calibri" w:hAnsi="Calibri" w:eastAsia="宋体" w:cs="Times New Roman"/>
      <w:color w:val="000000"/>
      <w:kern w:val="0"/>
      <w:sz w:val="20"/>
      <w:szCs w:val="20"/>
    </w:rPr>
    <w:tblPr>
      <w:tblCellMar>
        <w:top w:w="0" w:type="dxa"/>
        <w:left w:w="108" w:type="dxa"/>
        <w:bottom w:w="0" w:type="dxa"/>
        <w:right w:w="108" w:type="dxa"/>
      </w:tblCellMar>
    </w:tblPr>
    <w:tcPr>
      <w:shd w:val="clear" w:color="auto" w:fill="EDF6F9"/>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F3730A"/>
      </w:tcPr>
    </w:tblStylePr>
    <w:tblStylePr w:type="lastRow">
      <w:rPr>
        <w:rFonts w:cs="Times New Roman"/>
        <w:b/>
        <w:bCs/>
        <w:color w:val="F3730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shd w:val="clear" w:color="auto" w:fill="DAEEF3"/>
      </w:tcPr>
    </w:tblStylePr>
  </w:style>
  <w:style w:type="table" w:customStyle="1" w:styleId="86">
    <w:name w:val="Colorful List - Accent 6"/>
    <w:basedOn w:val="17"/>
    <w:qFormat/>
    <w:uiPriority w:val="72"/>
    <w:rPr>
      <w:rFonts w:ascii="Calibri" w:hAnsi="Calibri" w:eastAsia="宋体" w:cs="Times New Roman"/>
      <w:color w:val="000000"/>
      <w:kern w:val="0"/>
      <w:sz w:val="20"/>
      <w:szCs w:val="20"/>
    </w:rPr>
    <w:tblPr>
      <w:tblCellMar>
        <w:top w:w="0" w:type="dxa"/>
        <w:left w:w="108" w:type="dxa"/>
        <w:bottom w:w="0" w:type="dxa"/>
        <w:right w:w="108" w:type="dxa"/>
      </w:tblCellMar>
    </w:tblPr>
    <w:tcPr>
      <w:shd w:val="clear" w:color="auto" w:fill="FEF4EC"/>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348DA5"/>
      </w:tcPr>
    </w:tblStylePr>
    <w:tblStylePr w:type="lastRow">
      <w:rPr>
        <w:rFonts w:cs="Times New Roman"/>
        <w:b/>
        <w:bCs/>
        <w:color w:val="348DA5"/>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shd w:val="clear" w:color="auto" w:fill="FDE9D9"/>
      </w:tcPr>
    </w:tblStylePr>
  </w:style>
  <w:style w:type="table" w:customStyle="1" w:styleId="87">
    <w:name w:val="Colorful Grid - Accent 4"/>
    <w:basedOn w:val="17"/>
    <w:qFormat/>
    <w:uiPriority w:val="73"/>
    <w:rPr>
      <w:rFonts w:ascii="Calibri" w:hAnsi="Calibri" w:eastAsia="宋体" w:cs="Times New Roman"/>
      <w:color w:val="000000"/>
      <w:kern w:val="0"/>
      <w:sz w:val="20"/>
      <w:szCs w:val="20"/>
    </w:rPr>
    <w:tblPr>
      <w:tblBorders>
        <w:insideH w:val="single" w:color="FFFFFF" w:sz="4" w:space="0"/>
      </w:tblBorders>
      <w:tblCellMar>
        <w:top w:w="0" w:type="dxa"/>
        <w:left w:w="108" w:type="dxa"/>
        <w:bottom w:w="0" w:type="dxa"/>
        <w:right w:w="108" w:type="dxa"/>
      </w:tblCellMar>
    </w:tblPr>
    <w:tcPr>
      <w:shd w:val="clear" w:color="auto" w:fill="E5DFEC"/>
    </w:tcPr>
    <w:tblStylePr w:type="firstRow">
      <w:rPr>
        <w:rFonts w:cs="Times New Roman"/>
        <w:b/>
        <w:bCs/>
      </w:rPr>
      <w:tcPr>
        <w:shd w:val="clear" w:color="auto" w:fill="CCC0D9"/>
      </w:tcPr>
    </w:tblStylePr>
    <w:tblStylePr w:type="lastRow">
      <w:rPr>
        <w:rFonts w:cs="Times New Roman"/>
        <w:b/>
        <w:bCs/>
        <w:color w:val="000000"/>
      </w:rPr>
      <w:tcPr>
        <w:shd w:val="clear" w:color="auto" w:fill="CCC0D9"/>
      </w:tcPr>
    </w:tblStylePr>
    <w:tblStylePr w:type="firstCol">
      <w:rPr>
        <w:rFonts w:cs="Times New Roman"/>
        <w:color w:val="FFFFFF"/>
      </w:rPr>
      <w:tcPr>
        <w:shd w:val="clear" w:color="auto" w:fill="5F497A"/>
      </w:tcPr>
    </w:tblStylePr>
    <w:tblStylePr w:type="lastCol">
      <w:rPr>
        <w:rFonts w:cs="Times New Roman"/>
        <w:color w:val="FFFFFF"/>
      </w:rPr>
      <w:tcPr>
        <w:shd w:val="clear" w:color="auto" w:fill="5F497A"/>
      </w:tc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88">
    <w:name w:val="Colorful Grid - Accent 5"/>
    <w:basedOn w:val="17"/>
    <w:qFormat/>
    <w:uiPriority w:val="73"/>
    <w:rPr>
      <w:rFonts w:ascii="Calibri" w:hAnsi="Calibri" w:eastAsia="宋体" w:cs="Times New Roman"/>
      <w:color w:val="000000"/>
      <w:kern w:val="0"/>
      <w:sz w:val="20"/>
      <w:szCs w:val="20"/>
    </w:rPr>
    <w:tblPr>
      <w:tblBorders>
        <w:insideH w:val="single" w:color="FFFFFF" w:sz="4" w:space="0"/>
      </w:tblBorders>
      <w:tblCellMar>
        <w:top w:w="0" w:type="dxa"/>
        <w:left w:w="108" w:type="dxa"/>
        <w:bottom w:w="0" w:type="dxa"/>
        <w:right w:w="108" w:type="dxa"/>
      </w:tblCellMar>
    </w:tblPr>
    <w:tcPr>
      <w:shd w:val="clear" w:color="auto" w:fill="DAEEF3"/>
    </w:tcPr>
    <w:tblStylePr w:type="firstRow">
      <w:rPr>
        <w:rFonts w:cs="Times New Roman"/>
        <w:b/>
        <w:bCs/>
      </w:rPr>
      <w:tcPr>
        <w:shd w:val="clear" w:color="auto" w:fill="B6DDE8"/>
      </w:tcPr>
    </w:tblStylePr>
    <w:tblStylePr w:type="lastRow">
      <w:rPr>
        <w:rFonts w:cs="Times New Roman"/>
        <w:b/>
        <w:bCs/>
        <w:color w:val="000000"/>
      </w:rPr>
      <w:tcPr>
        <w:shd w:val="clear" w:color="auto" w:fill="B6DDE8"/>
      </w:tcPr>
    </w:tblStylePr>
    <w:tblStylePr w:type="firstCol">
      <w:rPr>
        <w:rFonts w:cs="Times New Roman"/>
        <w:color w:val="FFFFFF"/>
      </w:rPr>
      <w:tcPr>
        <w:shd w:val="clear" w:color="auto" w:fill="31849B"/>
      </w:tcPr>
    </w:tblStylePr>
    <w:tblStylePr w:type="lastCol">
      <w:rPr>
        <w:rFonts w:cs="Times New Roman"/>
        <w:color w:val="FFFFFF"/>
      </w:rPr>
      <w:tcPr>
        <w:shd w:val="clear" w:color="auto" w:fill="31849B"/>
      </w:tc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89">
    <w:name w:val="Colorful Grid - Accent 6"/>
    <w:basedOn w:val="17"/>
    <w:qFormat/>
    <w:uiPriority w:val="73"/>
    <w:rPr>
      <w:rFonts w:ascii="Calibri" w:hAnsi="Calibri" w:eastAsia="宋体" w:cs="Times New Roman"/>
      <w:color w:val="000000"/>
      <w:kern w:val="0"/>
      <w:sz w:val="20"/>
      <w:szCs w:val="20"/>
    </w:rPr>
    <w:tblPr>
      <w:tblBorders>
        <w:insideH w:val="single" w:color="FFFFFF" w:sz="4" w:space="0"/>
      </w:tblBorders>
      <w:tblCellMar>
        <w:top w:w="0" w:type="dxa"/>
        <w:left w:w="108" w:type="dxa"/>
        <w:bottom w:w="0" w:type="dxa"/>
        <w:right w:w="108" w:type="dxa"/>
      </w:tblCellMar>
    </w:tblPr>
    <w:tcPr>
      <w:shd w:val="clear" w:color="auto" w:fill="FDE9D9"/>
    </w:tcPr>
    <w:tblStylePr w:type="firstRow">
      <w:rPr>
        <w:rFonts w:cs="Times New Roman"/>
        <w:b/>
        <w:bCs/>
      </w:rPr>
      <w:tcPr>
        <w:shd w:val="clear" w:color="auto" w:fill="FBD4B4"/>
      </w:tcPr>
    </w:tblStylePr>
    <w:tblStylePr w:type="lastRow">
      <w:rPr>
        <w:rFonts w:cs="Times New Roman"/>
        <w:b/>
        <w:bCs/>
        <w:color w:val="000000"/>
      </w:rPr>
      <w:tcPr>
        <w:shd w:val="clear" w:color="auto" w:fill="FBD4B4"/>
      </w:tcPr>
    </w:tblStylePr>
    <w:tblStylePr w:type="firstCol">
      <w:rPr>
        <w:rFonts w:cs="Times New Roman"/>
        <w:color w:val="FFFFFF"/>
      </w:rPr>
      <w:tcPr>
        <w:shd w:val="clear" w:color="auto" w:fill="E36C09"/>
      </w:tcPr>
    </w:tblStylePr>
    <w:tblStylePr w:type="lastCol">
      <w:rPr>
        <w:rFonts w:cs="Times New Roman"/>
        <w:color w:val="FFFFFF"/>
      </w:rPr>
      <w:tcPr>
        <w:shd w:val="clear" w:color="auto" w:fill="E36C09"/>
      </w:tc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character" w:customStyle="1" w:styleId="90">
    <w:name w:val="不明显强调1"/>
    <w:basedOn w:val="26"/>
    <w:qFormat/>
    <w:uiPriority w:val="19"/>
    <w:rPr>
      <w:rFonts w:eastAsia="宋体" w:cs="Times New Roman"/>
      <w:i/>
      <w:iCs/>
      <w:color w:val="7F7F7F"/>
      <w:sz w:val="22"/>
      <w:szCs w:val="22"/>
      <w:lang w:eastAsia="zh-CN"/>
    </w:rPr>
  </w:style>
  <w:style w:type="character" w:customStyle="1" w:styleId="91">
    <w:name w:val="apple-converted-space"/>
    <w:basedOn w:val="26"/>
    <w:qFormat/>
    <w:uiPriority w:val="0"/>
    <w:rPr>
      <w:rFonts w:cs="Times New Roman"/>
    </w:rPr>
  </w:style>
  <w:style w:type="character" w:customStyle="1" w:styleId="92">
    <w:name w:val="页眉 Char1"/>
    <w:basedOn w:val="26"/>
    <w:semiHidden/>
    <w:qFormat/>
    <w:uiPriority w:val="99"/>
    <w:rPr>
      <w:rFonts w:cs="Times New Roman"/>
      <w:kern w:val="2"/>
      <w:sz w:val="18"/>
      <w:szCs w:val="18"/>
    </w:rPr>
  </w:style>
  <w:style w:type="character" w:customStyle="1" w:styleId="93">
    <w:name w:val="页脚 Char1"/>
    <w:basedOn w:val="26"/>
    <w:semiHidden/>
    <w:qFormat/>
    <w:uiPriority w:val="99"/>
    <w:rPr>
      <w:rFonts w:cs="Times New Roman"/>
      <w:kern w:val="2"/>
      <w:sz w:val="18"/>
      <w:szCs w:val="18"/>
    </w:rPr>
  </w:style>
  <w:style w:type="paragraph" w:customStyle="1" w:styleId="94">
    <w:name w:val="列出段落1"/>
    <w:basedOn w:val="1"/>
    <w:qFormat/>
    <w:uiPriority w:val="34"/>
    <w:pPr>
      <w:ind w:firstLine="420" w:firstLineChars="200"/>
    </w:pPr>
  </w:style>
  <w:style w:type="paragraph" w:customStyle="1" w:styleId="9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7">
    <w:name w:val="xl63"/>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98">
    <w:name w:val="xl64"/>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99">
    <w:name w:val="xl6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00">
    <w:name w:val="xl66"/>
    <w:basedOn w:val="1"/>
    <w:qFormat/>
    <w:uiPriority w:val="0"/>
    <w:pPr>
      <w:widowControl/>
      <w:spacing w:before="100" w:beforeAutospacing="1" w:after="100" w:afterAutospacing="1"/>
      <w:jc w:val="center"/>
    </w:pPr>
    <w:rPr>
      <w:rFonts w:ascii="华文楷体" w:hAnsi="华文楷体" w:eastAsia="华文楷体" w:cs="宋体"/>
      <w:kern w:val="0"/>
      <w:sz w:val="24"/>
      <w:szCs w:val="24"/>
    </w:rPr>
  </w:style>
  <w:style w:type="paragraph" w:customStyle="1" w:styleId="10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华文楷体" w:hAnsi="华文楷体" w:eastAsia="华文楷体" w:cs="宋体"/>
      <w:kern w:val="0"/>
      <w:sz w:val="24"/>
      <w:szCs w:val="24"/>
    </w:rPr>
  </w:style>
  <w:style w:type="paragraph" w:customStyle="1" w:styleId="10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10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华文楷体" w:hAnsi="华文楷体" w:eastAsia="华文楷体" w:cs="宋体"/>
      <w:kern w:val="0"/>
      <w:sz w:val="24"/>
      <w:szCs w:val="24"/>
    </w:rPr>
  </w:style>
  <w:style w:type="paragraph" w:customStyle="1" w:styleId="10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24"/>
      <w:szCs w:val="24"/>
    </w:rPr>
  </w:style>
  <w:style w:type="paragraph" w:customStyle="1" w:styleId="10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4"/>
      <w:szCs w:val="24"/>
    </w:rPr>
  </w:style>
  <w:style w:type="paragraph" w:customStyle="1" w:styleId="10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1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11">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12">
    <w:name w:val="xl78"/>
    <w:basedOn w:val="1"/>
    <w:qFormat/>
    <w:uiPriority w:val="0"/>
    <w:pPr>
      <w:widowControl/>
      <w:pBdr>
        <w:bottom w:val="single" w:color="auto" w:sz="4" w:space="0"/>
      </w:pBdr>
      <w:spacing w:before="100" w:beforeAutospacing="1" w:after="100" w:afterAutospacing="1"/>
      <w:jc w:val="center"/>
    </w:pPr>
    <w:rPr>
      <w:rFonts w:ascii="黑体" w:hAnsi="宋体" w:eastAsia="黑体" w:cs="宋体"/>
      <w:b/>
      <w:bCs/>
      <w:kern w:val="0"/>
      <w:sz w:val="32"/>
      <w:szCs w:val="32"/>
    </w:rPr>
  </w:style>
  <w:style w:type="paragraph" w:customStyle="1" w:styleId="113">
    <w:name w:val="Decimal Aligned"/>
    <w:basedOn w:val="1"/>
    <w:qFormat/>
    <w:uiPriority w:val="40"/>
    <w:pPr>
      <w:widowControl/>
      <w:tabs>
        <w:tab w:val="decimal" w:pos="360"/>
      </w:tabs>
      <w:spacing w:after="200" w:line="276" w:lineRule="auto"/>
      <w:jc w:val="left"/>
    </w:pPr>
    <w:rPr>
      <w:kern w:val="0"/>
      <w:sz w:val="22"/>
    </w:rPr>
  </w:style>
  <w:style w:type="paragraph" w:customStyle="1" w:styleId="114">
    <w:name w:val="TOC 标题1"/>
    <w:basedOn w:val="3"/>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115">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16">
    <w:name w:val="Char"/>
    <w:basedOn w:val="1"/>
    <w:qFormat/>
    <w:uiPriority w:val="0"/>
    <w:pPr>
      <w:spacing w:line="360" w:lineRule="auto"/>
      <w:ind w:firstLine="420"/>
    </w:pPr>
    <w:rPr>
      <w:rFonts w:ascii="Times New Roman" w:hAnsi="Times New Roman"/>
      <w:szCs w:val="20"/>
    </w:rPr>
  </w:style>
  <w:style w:type="paragraph" w:customStyle="1" w:styleId="117">
    <w:name w:val="p15"/>
    <w:basedOn w:val="1"/>
    <w:qFormat/>
    <w:uiPriority w:val="0"/>
    <w:pPr>
      <w:widowControl/>
    </w:pPr>
    <w:rPr>
      <w:rFonts w:ascii="Times New Roman" w:hAnsi="Times New Roman"/>
      <w:kern w:val="0"/>
      <w:szCs w:val="21"/>
    </w:rPr>
  </w:style>
  <w:style w:type="table" w:customStyle="1" w:styleId="118">
    <w:name w:val="中等深浅底纹 2 - 强调文字颜色 11"/>
    <w:basedOn w:val="17"/>
    <w:qFormat/>
    <w:uiPriority w:val="64"/>
    <w:rPr>
      <w:rFonts w:ascii="Calibri" w:hAnsi="Calibri" w:eastAsia="宋体" w:cs="Times New Roman"/>
      <w:kern w:val="0"/>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F81B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F81B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F81B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19">
    <w:name w:val="浅色底纹 - 强调文字颜色 111"/>
    <w:basedOn w:val="17"/>
    <w:qFormat/>
    <w:uiPriority w:val="60"/>
    <w:rPr>
      <w:rFonts w:ascii="Calibri" w:hAnsi="Calibri" w:eastAsia="宋体" w:cs="Times New Roman"/>
      <w:color w:val="366091"/>
      <w:kern w:val="0"/>
      <w:sz w:val="20"/>
      <w:szCs w:val="20"/>
    </w:rPr>
    <w:tblPr>
      <w:tblBorders>
        <w:top w:val="single" w:color="4F81BD" w:sz="8" w:space="0"/>
        <w:bottom w:val="single" w:color="4F81BD" w:sz="8" w:space="0"/>
      </w:tblBorders>
      <w:tblCellMar>
        <w:top w:w="0" w:type="dxa"/>
        <w:left w:w="108" w:type="dxa"/>
        <w:bottom w:w="0" w:type="dxa"/>
        <w:right w:w="108" w:type="dxa"/>
      </w:tblCellMar>
    </w:tblPr>
  </w:style>
  <w:style w:type="table" w:customStyle="1" w:styleId="120">
    <w:name w:val="中等深浅底纹 1 - 强调文字颜色 11"/>
    <w:basedOn w:val="17"/>
    <w:qFormat/>
    <w:uiPriority w:val="63"/>
    <w:rPr>
      <w:rFonts w:ascii="Calibri" w:hAnsi="Calibri" w:eastAsia="宋体" w:cs="Times New Roman"/>
      <w:kern w:val="0"/>
      <w:sz w:val="20"/>
      <w:szCs w:val="20"/>
    </w:rPr>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pPr>
      <w:rPr>
        <w:rFonts w:cs="Times New Roman"/>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21">
    <w:name w:val="浅色列表1"/>
    <w:basedOn w:val="17"/>
    <w:qFormat/>
    <w:uiPriority w:val="61"/>
    <w:rPr>
      <w:rFonts w:ascii="Calibri" w:hAnsi="Calibri" w:eastAsia="宋体" w:cs="Times New Roman"/>
      <w:kern w:val="0"/>
      <w:sz w:val="22"/>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22">
    <w:name w:val="浅色网格 - 强调文字颜色 11"/>
    <w:basedOn w:val="17"/>
    <w:qFormat/>
    <w:uiPriority w:val="62"/>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F81BD" w:sz="8" w:space="0"/>
          <w:left w:val="single" w:color="4F81BD" w:sz="18" w:space="0"/>
          <w:bottom w:val="single" w:color="4F81BD" w:sz="8" w:space="0"/>
          <w:right w:val="single" w:color="4F81B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123">
    <w:name w:val="浅色列表2"/>
    <w:basedOn w:val="17"/>
    <w:qFormat/>
    <w:uiPriority w:val="61"/>
    <w:rPr>
      <w:rFonts w:ascii="Calibri" w:hAnsi="Calibri" w:eastAsia="宋体" w:cs="Times New Roman"/>
      <w:kern w:val="0"/>
      <w:sz w:val="20"/>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24">
    <w:name w:val="中等深浅列表 1 - 强调文字颜色 11"/>
    <w:basedOn w:val="17"/>
    <w:qFormat/>
    <w:uiPriority w:val="65"/>
    <w:rPr>
      <w:rFonts w:ascii="Calibri" w:hAnsi="Calibri" w:eastAsia="宋体" w:cs="Times New Roman"/>
      <w:color w:val="000000"/>
      <w:kern w:val="0"/>
      <w:sz w:val="20"/>
      <w:szCs w:val="20"/>
    </w:rPr>
    <w:tblPr>
      <w:tblBorders>
        <w:top w:val="single" w:color="4F81BD" w:sz="8" w:space="0"/>
        <w:bottom w:val="single" w:color="4F81BD"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F81BD" w:sz="8" w:space="0"/>
          <w:bottom w:val="nil"/>
          <w:right w:val="nil"/>
          <w:insideH w:val="nil"/>
          <w:insideV w:val="nil"/>
          <w:tl2br w:val="nil"/>
          <w:tr2bl w:val="nil"/>
        </w:tcBorders>
      </w:tcPr>
    </w:tblStylePr>
    <w:tblStylePr w:type="lastRow">
      <w:rPr>
        <w:rFonts w:cs="Times New Roman"/>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F81BD" w:sz="8" w:space="0"/>
          <w:left w:val="single" w:color="4F81BD" w:sz="8" w:space="0"/>
          <w:bottom w:val="nil"/>
          <w:right w:val="nil"/>
          <w:insideH w:val="nil"/>
          <w:insideV w:val="nil"/>
          <w:tl2br w:val="nil"/>
          <w:tr2bl w:val="nil"/>
        </w:tcBorders>
      </w:tc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25">
    <w:name w:val="中等深浅底纹 21"/>
    <w:basedOn w:val="17"/>
    <w:qFormat/>
    <w:uiPriority w:val="64"/>
    <w:rPr>
      <w:rFonts w:ascii="Calibri" w:hAnsi="Calibri" w:eastAsia="宋体" w:cs="Times New Roman"/>
      <w:kern w:val="0"/>
      <w:sz w:val="20"/>
      <w:szCs w:val="20"/>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000000"/>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000000"/>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000000"/>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26">
    <w:name w:val="浅色列表 - 强调文字颜色 11"/>
    <w:basedOn w:val="17"/>
    <w:qFormat/>
    <w:uiPriority w:val="61"/>
    <w:rPr>
      <w:rFonts w:ascii="Calibri" w:hAnsi="Calibri" w:eastAsia="宋体" w:cs="Times New Roman"/>
      <w:kern w:val="0"/>
      <w:sz w:val="20"/>
      <w:szCs w:val="20"/>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F81BD"/>
      </w:tcPr>
    </w:tblStylePr>
    <w:tblStylePr w:type="lastRow">
      <w:pPr>
        <w:spacing w:before="0" w:after="0"/>
      </w:pPr>
      <w:rPr>
        <w:rFonts w:cs="Times New Roman"/>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127">
    <w:name w:val="List Paragraph"/>
    <w:basedOn w:val="1"/>
    <w:qFormat/>
    <w:uiPriority w:val="34"/>
    <w:pPr>
      <w:ind w:firstLine="420" w:firstLineChars="200"/>
    </w:pPr>
  </w:style>
  <w:style w:type="character" w:customStyle="1" w:styleId="128">
    <w:name w:val="标题 3 Char"/>
    <w:basedOn w:val="26"/>
    <w:link w:val="5"/>
    <w:semiHidden/>
    <w:qFormat/>
    <w:uiPriority w:val="9"/>
    <w:rPr>
      <w:rFonts w:ascii="Calibri" w:hAnsi="Calibri" w:eastAsia="宋体" w:cs="Times New Roman"/>
      <w:b/>
      <w:bCs/>
      <w:sz w:val="32"/>
      <w:szCs w:val="32"/>
    </w:rPr>
  </w:style>
  <w:style w:type="character" w:customStyle="1" w:styleId="129">
    <w:name w:val="标题 2 Char"/>
    <w:basedOn w:val="26"/>
    <w:link w:val="4"/>
    <w:semiHidden/>
    <w:qFormat/>
    <w:uiPriority w:val="9"/>
    <w:rPr>
      <w:rFonts w:asciiTheme="majorHAnsi" w:hAnsiTheme="majorHAnsi" w:eastAsiaTheme="majorEastAsia" w:cstheme="majorBidi"/>
      <w:b/>
      <w:bCs/>
      <w:sz w:val="32"/>
      <w:szCs w:val="32"/>
    </w:rPr>
  </w:style>
  <w:style w:type="character" w:customStyle="1" w:styleId="130">
    <w:name w:val="font71"/>
    <w:basedOn w:val="26"/>
    <w:qFormat/>
    <w:uiPriority w:val="0"/>
    <w:rPr>
      <w:rFonts w:hint="eastAsia" w:ascii="宋体" w:hAnsi="宋体" w:eastAsia="宋体" w:cs="宋体"/>
      <w:color w:val="000000"/>
      <w:sz w:val="18"/>
      <w:szCs w:val="18"/>
      <w:u w:val="none"/>
    </w:rPr>
  </w:style>
  <w:style w:type="character" w:customStyle="1" w:styleId="131">
    <w:name w:val="font41"/>
    <w:basedOn w:val="26"/>
    <w:qFormat/>
    <w:uiPriority w:val="0"/>
    <w:rPr>
      <w:rFonts w:hint="eastAsia" w:ascii="宋体" w:hAnsi="宋体" w:eastAsia="宋体" w:cs="宋体"/>
      <w:b/>
      <w:color w:val="000000"/>
      <w:sz w:val="18"/>
      <w:szCs w:val="18"/>
      <w:u w:val="none"/>
    </w:rPr>
  </w:style>
  <w:style w:type="character" w:customStyle="1" w:styleId="132">
    <w:name w:val="font01"/>
    <w:basedOn w:val="26"/>
    <w:qFormat/>
    <w:uiPriority w:val="0"/>
    <w:rPr>
      <w:rFonts w:hint="eastAsia" w:ascii="宋体" w:hAnsi="宋体" w:eastAsia="宋体" w:cs="宋体"/>
      <w:color w:val="000000"/>
      <w:sz w:val="18"/>
      <w:szCs w:val="18"/>
      <w:u w:val="none"/>
    </w:rPr>
  </w:style>
  <w:style w:type="paragraph" w:customStyle="1" w:styleId="133">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chart" Target="charts/chart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1&#24180;&#23601;&#19994;&#36136;&#37327;&#25253;&#21578;%20(3)\&#26032;&#24314;%20XLSX%20&#24037;&#20316;&#34920;%20(&#21333;&#20301;&#24615;&#361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'[新建 XLSX 工作表 (单位性质).xlsx]Sheet1'!$B$1</c:f>
              <c:strCache>
                <c:ptCount val="1"/>
                <c:pt idx="0">
                  <c:v>人数</c:v>
                </c:pt>
              </c:strCache>
            </c:strRef>
          </c:tx>
          <c:spPr>
            <a:scene3d>
              <a:camera prst="orthographicFront"/>
              <a:lightRig rig="threePt" dir="t"/>
            </a:scene3d>
            <a:sp3d contourW="9525"/>
          </c:spPr>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dPt>
          <c:dPt>
            <c:idx val="14"/>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dPt>
          <c:dPt>
            <c:idx val="15"/>
            <c:bubble3D val="0"/>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dPt>
          <c:dLbls>
            <c:delete val="1"/>
          </c:dLbls>
          <c:cat>
            <c:strRef>
              <c:f>'[新建 XLSX 工作表 (单位性质).xlsx]Sheet1'!$A$2:$A$17</c:f>
              <c:strCache>
                <c:ptCount val="16"/>
                <c:pt idx="0">
                  <c:v>机关</c:v>
                </c:pt>
                <c:pt idx="1">
                  <c:v>科研设计单位</c:v>
                </c:pt>
                <c:pt idx="2">
                  <c:v>高等学校</c:v>
                </c:pt>
                <c:pt idx="3">
                  <c:v>其他教学单位</c:v>
                </c:pt>
                <c:pt idx="4">
                  <c:v>医疗卫生单位</c:v>
                </c:pt>
                <c:pt idx="5">
                  <c:v>其他事业单位</c:v>
                </c:pt>
                <c:pt idx="6">
                  <c:v>国有企业</c:v>
                </c:pt>
                <c:pt idx="7">
                  <c:v>三资企业</c:v>
                </c:pt>
                <c:pt idx="8">
                  <c:v>其他企业</c:v>
                </c:pt>
                <c:pt idx="9">
                  <c:v>部队</c:v>
                </c:pt>
                <c:pt idx="10">
                  <c:v>国家基层项目</c:v>
                </c:pt>
                <c:pt idx="11">
                  <c:v>地方基层项目</c:v>
                </c:pt>
                <c:pt idx="12">
                  <c:v>自主创业</c:v>
                </c:pt>
                <c:pt idx="13">
                  <c:v>自由职业</c:v>
                </c:pt>
                <c:pt idx="14">
                  <c:v>升学</c:v>
                </c:pt>
                <c:pt idx="15">
                  <c:v>出国、出境深造</c:v>
                </c:pt>
              </c:strCache>
            </c:strRef>
          </c:cat>
          <c:val>
            <c:numRef>
              <c:f>'[新建 XLSX 工作表 (单位性质).xlsx]Sheet1'!$B$2:$B$17</c:f>
              <c:numCache>
                <c:formatCode>General</c:formatCode>
                <c:ptCount val="16"/>
                <c:pt idx="0">
                  <c:v>70</c:v>
                </c:pt>
                <c:pt idx="1">
                  <c:v>1</c:v>
                </c:pt>
                <c:pt idx="2">
                  <c:v>20</c:v>
                </c:pt>
                <c:pt idx="3">
                  <c:v>15</c:v>
                </c:pt>
                <c:pt idx="4">
                  <c:v>4</c:v>
                </c:pt>
                <c:pt idx="5">
                  <c:v>46</c:v>
                </c:pt>
                <c:pt idx="6">
                  <c:v>355</c:v>
                </c:pt>
                <c:pt idx="7">
                  <c:v>64</c:v>
                </c:pt>
                <c:pt idx="8">
                  <c:v>1540</c:v>
                </c:pt>
                <c:pt idx="9">
                  <c:v>10</c:v>
                </c:pt>
                <c:pt idx="10">
                  <c:v>3</c:v>
                </c:pt>
                <c:pt idx="11">
                  <c:v>8</c:v>
                </c:pt>
                <c:pt idx="12">
                  <c:v>29</c:v>
                </c:pt>
                <c:pt idx="13">
                  <c:v>667</c:v>
                </c:pt>
                <c:pt idx="14">
                  <c:v>250</c:v>
                </c:pt>
                <c:pt idx="15">
                  <c:v>57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512E6-0F74-4F5B-8FC4-7944569D9E3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3423</Words>
  <Characters>19517</Characters>
  <Lines>162</Lines>
  <Paragraphs>45</Paragraphs>
  <TotalTime>4</TotalTime>
  <ScaleCrop>false</ScaleCrop>
  <LinksUpToDate>false</LinksUpToDate>
  <CharactersWithSpaces>22895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2017-10-26T14:33:00Z</dcterms:created>
  <dc:creator>Administrator</dc:creator>
  <cp:lastModifiedBy>许剑锋</cp:lastModifiedBy>
  <cp:lastPrinted>2022-01-04T09:35:00Z</cp:lastPrinted>
  <dcterms:modified xsi:type="dcterms:W3CDTF">2022-01-05T09:13:56Z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6B4B6AD2884345F58CE4D7977700D27D</vt:lpwstr>
  </property>
</Properties>
</file>