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500" w:rsidRDefault="005B1500" w:rsidP="00181BE0">
      <w:pPr>
        <w:spacing w:line="360" w:lineRule="auto"/>
        <w:jc w:val="center"/>
        <w:rPr>
          <w:rFonts w:ascii="宋体" w:cs="宋体"/>
          <w:b/>
          <w:bCs/>
          <w:sz w:val="36"/>
          <w:szCs w:val="36"/>
        </w:rPr>
      </w:pPr>
    </w:p>
    <w:p w:rsidR="005B1500" w:rsidRPr="009141A6" w:rsidRDefault="005B1500" w:rsidP="00181BE0">
      <w:pPr>
        <w:spacing w:line="360" w:lineRule="auto"/>
        <w:jc w:val="center"/>
        <w:rPr>
          <w:rFonts w:ascii="宋体"/>
          <w:b/>
          <w:bCs/>
          <w:sz w:val="36"/>
          <w:szCs w:val="36"/>
        </w:rPr>
      </w:pPr>
      <w:r w:rsidRPr="009141A6">
        <w:rPr>
          <w:rFonts w:ascii="宋体" w:hAnsi="宋体" w:cs="宋体" w:hint="eastAsia"/>
          <w:b/>
          <w:bCs/>
          <w:sz w:val="36"/>
          <w:szCs w:val="36"/>
        </w:rPr>
        <w:t>湖南财政经济学院</w:t>
      </w:r>
    </w:p>
    <w:p w:rsidR="005B1500" w:rsidRPr="00EC1DBC" w:rsidRDefault="005B1500" w:rsidP="00EB077B">
      <w:pPr>
        <w:spacing w:beforeLines="50" w:afterLines="50" w:line="360" w:lineRule="auto"/>
        <w:jc w:val="center"/>
        <w:rPr>
          <w:rFonts w:ascii="宋体"/>
          <w:b/>
          <w:bCs/>
          <w:sz w:val="24"/>
          <w:szCs w:val="24"/>
        </w:rPr>
      </w:pPr>
      <w:r w:rsidRPr="009141A6">
        <w:rPr>
          <w:rFonts w:ascii="宋体" w:hAnsi="宋体" w:cs="宋体"/>
          <w:b/>
          <w:bCs/>
          <w:sz w:val="36"/>
          <w:szCs w:val="36"/>
        </w:rPr>
        <w:t>201</w:t>
      </w:r>
      <w:r>
        <w:rPr>
          <w:rFonts w:ascii="宋体" w:hAnsi="宋体" w:cs="宋体"/>
          <w:b/>
          <w:bCs/>
          <w:sz w:val="36"/>
          <w:szCs w:val="36"/>
        </w:rPr>
        <w:t>8</w:t>
      </w:r>
      <w:r w:rsidRPr="009141A6">
        <w:rPr>
          <w:rFonts w:ascii="宋体" w:hAnsi="宋体" w:cs="宋体" w:hint="eastAsia"/>
          <w:b/>
          <w:bCs/>
          <w:sz w:val="36"/>
          <w:szCs w:val="36"/>
        </w:rPr>
        <w:t>年“专升本”《</w:t>
      </w:r>
      <w:r w:rsidRPr="00BA105F">
        <w:rPr>
          <w:rFonts w:ascii="宋体" w:hAnsi="宋体" w:cs="宋体"/>
          <w:b/>
          <w:bCs/>
          <w:sz w:val="36"/>
          <w:szCs w:val="36"/>
          <w:u w:val="single"/>
        </w:rPr>
        <w:t xml:space="preserve"> </w:t>
      </w:r>
      <w:r w:rsidRPr="00BA105F">
        <w:rPr>
          <w:rFonts w:ascii="宋体" w:hAnsi="宋体" w:cs="宋体" w:hint="eastAsia"/>
          <w:b/>
          <w:bCs/>
          <w:sz w:val="36"/>
          <w:szCs w:val="36"/>
          <w:u w:val="single"/>
        </w:rPr>
        <w:t>金融学</w:t>
      </w:r>
      <w:r w:rsidRPr="00662DA6">
        <w:rPr>
          <w:rFonts w:ascii="宋体" w:hAnsi="宋体" w:cs="宋体"/>
          <w:b/>
          <w:bCs/>
          <w:sz w:val="36"/>
          <w:szCs w:val="36"/>
        </w:rPr>
        <w:t xml:space="preserve"> </w:t>
      </w:r>
      <w:r w:rsidRPr="009141A6">
        <w:rPr>
          <w:rFonts w:ascii="宋体" w:hAnsi="宋体" w:cs="宋体" w:hint="eastAsia"/>
          <w:b/>
          <w:bCs/>
          <w:sz w:val="36"/>
          <w:szCs w:val="36"/>
        </w:rPr>
        <w:t>》考试大纲</w:t>
      </w:r>
    </w:p>
    <w:p w:rsidR="005B1500" w:rsidRPr="006F7597" w:rsidRDefault="005B1500" w:rsidP="00EB077B">
      <w:pPr>
        <w:numPr>
          <w:ilvl w:val="0"/>
          <w:numId w:val="2"/>
        </w:numPr>
        <w:spacing w:beforeLines="50" w:line="360" w:lineRule="auto"/>
        <w:rPr>
          <w:rFonts w:ascii="仿宋_GB2312" w:eastAsia="仿宋_GB2312" w:hAnsi="宋体"/>
          <w:b/>
          <w:bCs/>
          <w:sz w:val="32"/>
          <w:szCs w:val="32"/>
        </w:rPr>
      </w:pPr>
      <w:r w:rsidRPr="006F7597">
        <w:rPr>
          <w:rFonts w:ascii="仿宋_GB2312" w:eastAsia="仿宋_GB2312" w:hAnsi="宋体" w:cs="仿宋_GB2312" w:hint="eastAsia"/>
          <w:b/>
          <w:bCs/>
          <w:sz w:val="32"/>
          <w:szCs w:val="32"/>
        </w:rPr>
        <w:t>考试的基本要求</w:t>
      </w:r>
    </w:p>
    <w:p w:rsidR="005B1500" w:rsidRPr="00181BE0" w:rsidRDefault="005B1500" w:rsidP="00BA105F">
      <w:pPr>
        <w:spacing w:line="360" w:lineRule="auto"/>
        <w:ind w:firstLineChars="150" w:firstLine="31680"/>
        <w:rPr>
          <w:rFonts w:ascii="仿宋_GB2312" w:eastAsia="仿宋_GB2312"/>
          <w:sz w:val="32"/>
          <w:szCs w:val="32"/>
        </w:rPr>
      </w:pPr>
      <w:r w:rsidRPr="00181BE0">
        <w:rPr>
          <w:rFonts w:ascii="仿宋_GB2312" w:eastAsia="仿宋_GB2312" w:hAnsi="宋体" w:cs="仿宋_GB2312" w:hint="eastAsia"/>
          <w:sz w:val="32"/>
          <w:szCs w:val="32"/>
        </w:rPr>
        <w:t>《金融学》是研究金融领域各要素及其基本关系与运行规律的专业基础理论课，是金融学专业的统帅性课程，也是经济类、管理类等多个专业的主干课程。</w:t>
      </w:r>
    </w:p>
    <w:p w:rsidR="005B1500" w:rsidRPr="00181BE0" w:rsidRDefault="005B1500" w:rsidP="00BA105F">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本大纲适用于报考湖南财政经济学院金融学专业专升本入学考试复习。通过本课程的考试，检验和考核学生对金融学基本概念、基本知识、基本理论和基本业务技能的掌握情况，提高正确分析和解决金融问题的能力。</w:t>
      </w:r>
    </w:p>
    <w:p w:rsidR="005B1500" w:rsidRPr="00181BE0" w:rsidRDefault="005B1500" w:rsidP="00BA105F">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本课程所选教材内容共分五篇十四章。第一、二、三章是金融基础篇，主要介绍和探讨货币与货币制度、信用与利息、外汇与汇率等金融基础知识；第四、五、六章是金融机构篇，主要介绍和探讨金融机构体系、商业银行、中央银行等相关知识；第七、八章是金融市场篇，主要介绍和探讨有关传统金融市场和衍生金融市场的基本常识和基本技能；第九、十、十一、十二章是宏观调控篇，主要介绍和探讨货币需求、货币供给、通货膨胀与通货紧缩、货币政策等相关知识；第十三、十四章是金融发展与金融监管篇，主要介绍和探讨了金融发展与金融创新、金融风险与金融监管等相关内容。</w:t>
      </w:r>
    </w:p>
    <w:p w:rsidR="005B1500" w:rsidRPr="006F7597" w:rsidRDefault="005B1500" w:rsidP="00EB077B">
      <w:pPr>
        <w:numPr>
          <w:ilvl w:val="0"/>
          <w:numId w:val="2"/>
        </w:numPr>
        <w:spacing w:beforeLines="50" w:line="360" w:lineRule="auto"/>
        <w:rPr>
          <w:rFonts w:ascii="仿宋_GB2312" w:eastAsia="仿宋_GB2312" w:hAnsi="宋体"/>
          <w:b/>
          <w:bCs/>
          <w:sz w:val="32"/>
          <w:szCs w:val="32"/>
        </w:rPr>
      </w:pPr>
      <w:r w:rsidRPr="006F7597">
        <w:rPr>
          <w:rFonts w:ascii="仿宋_GB2312" w:eastAsia="仿宋_GB2312" w:hAnsi="宋体" w:cs="仿宋_GB2312" w:hint="eastAsia"/>
          <w:b/>
          <w:bCs/>
          <w:sz w:val="32"/>
          <w:szCs w:val="32"/>
        </w:rPr>
        <w:t>考试的范围和内容</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第一章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货币与货币制度</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货币的定义、职能、货币形态的演变、货币层次的划分、货币制度的演变</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识记：狭义货币、广义货币、准货币、实物货币、格雷欣法则、货币制度</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掌握：货币本质、货币职能、货币形态的演变、货币制度的构成要素及其演变</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应用：货币层次划分的依据、对现阶段货币本质、货币职能和货币形态的再认识</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第二章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信用与利息</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信用的概念与本质、信用形式的特点及作用、信用工具的类型及特点、利息与利率的概念及利息计算方法、利率变动的主要因素、到期收益率的计算、主要利率决定理论、利率的作用</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识记：信用、商业信用、银行信用、信用工具、支票、融通票据、股票、债券、收益的资本化、基准利率、到期收益率、流动性陷阱</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掌握：信用的本质特征、主要信用形式及其特点、信用工具的特征及种类（第八章金融衍生工具在此介绍）、利息的本质、利率的种类、利率的决定与影响因素、主要利率决定理论、利率的作用、计息方法</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应用：分析我国现有信用形式和信用工具的现状与问题、利息的计算方法（单利和复利计息法）、到期收益率的计算、分析我国利率体制改革的意义</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第三章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外汇与汇率</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外汇与汇率概念和种类、汇率标价方法、汇率制度含义、内容和分类、国际货币体系的含义、构成、演变及特点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r w:rsidRPr="00181BE0">
        <w:rPr>
          <w:rFonts w:ascii="仿宋_GB2312" w:eastAsia="仿宋_GB2312" w:hAnsi="宋体" w:cs="仿宋_GB2312"/>
          <w:sz w:val="32"/>
          <w:szCs w:val="32"/>
        </w:rPr>
        <w:t xml:space="preserve"> </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识记：外汇、汇率、直接标价法、间接标价法、布雷顿森林体系、特里芬难题</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掌握：外汇和汇率的概念与种类、国际货币体系的演变</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应用：分析人民币国际化的进程</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第四章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金融机构</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金融机构体系的含义与构成、银行业的起源、金融机构的功能、我国现行金融机构体系</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金融机构、商业银行、投资银行、道德风险、逆向选择</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掌握：金融机构的产生、金融机构的种类、金融机构的功能</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应用：认识我国现有金融机构体系的特点</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第五章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商业银行</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商业银行经营模式和组织制度的概念与优缺点、商业银行的业务构成及其创新与管理、商业银行的经营原则与经营管理理论、巴塞尔协议的内容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识记：分业经营、混业经营、银行持股公司、可转让支付命令账户、自动转账服务账户、票据贴现</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掌握：商业银行的经营模式和组织形式（制度）、商业银行的业务类型及主要业务内容、商业银行的经营原则和经营管理理论的演变（第十四章巴塞尔协议相关内容并入本章介绍）</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应用：我国商业银行经营模式的演变及业务特点</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第六章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中央银行</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中央银行产生的必要性（原因）及其途径、中央银行的组织形式、性质与职能、中央银行支付清算业务构成、央行业务构成、金融监管的含义与内容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识记：最后贷款人、发行的银行、银行的银行、政府的银行、金融监管</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掌握：中央银行产生的原因、中央银行的组织形式、中央银行的性质与职能、中央银行的业务类型与经营原则（第九章金融监管的内容在此介绍）</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应用：我国中央银行的发展及其独立性</w:t>
      </w:r>
      <w:r w:rsidRPr="00181BE0">
        <w:rPr>
          <w:rFonts w:ascii="仿宋_GB2312" w:eastAsia="仿宋_GB2312" w:hAnsi="宋体" w:cs="仿宋_GB2312"/>
          <w:sz w:val="32"/>
          <w:szCs w:val="32"/>
        </w:rPr>
        <w:t xml:space="preserve"> </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第七章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金融市场</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金融市场的概念及功能、货币市场与资本市场的概念、构成及其主要子市场的运作</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识记：金融市场、直接融资、间接融资、货币市场、资本市场</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掌握：金融市场的特点与功能、直接融资与间接融资的优缺点、货币市场及其主要子市场的特点、资本市场的构成及其价格决定和交易形式</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应用：结合现阶段我国证券市场的现状，分析投资者在进行金融投资时主要应考虑的因素</w:t>
      </w:r>
      <w:r w:rsidRPr="00181BE0">
        <w:rPr>
          <w:rFonts w:ascii="仿宋_GB2312" w:eastAsia="仿宋_GB2312" w:hAnsi="宋体" w:cs="仿宋_GB2312"/>
          <w:sz w:val="32"/>
          <w:szCs w:val="32"/>
        </w:rPr>
        <w:t xml:space="preserve"> </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第八章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金融衍生工具市场（不考）</w:t>
      </w:r>
    </w:p>
    <w:p w:rsidR="005B1500" w:rsidRPr="00181BE0" w:rsidRDefault="005B1500" w:rsidP="00BA105F">
      <w:pPr>
        <w:spacing w:beforeLines="50" w:line="360" w:lineRule="auto"/>
        <w:ind w:firstLineChars="200" w:firstLine="31680"/>
        <w:jc w:val="left"/>
        <w:rPr>
          <w:rFonts w:ascii="仿宋_GB2312" w:eastAsia="仿宋_GB2312"/>
          <w:sz w:val="32"/>
          <w:szCs w:val="32"/>
        </w:rPr>
      </w:pPr>
      <w:r w:rsidRPr="00181BE0">
        <w:rPr>
          <w:rFonts w:ascii="仿宋_GB2312" w:eastAsia="仿宋_GB2312" w:hAnsi="宋体" w:cs="仿宋_GB2312" w:hint="eastAsia"/>
          <w:sz w:val="32"/>
          <w:szCs w:val="32"/>
        </w:rPr>
        <w:t>主要金融衍生工具的种类在第二章简单介绍</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第九章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货币需求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货币需求的定义、类型与决定因素、主要货币需求理论</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识记：货币需求、交易货币需求、预防货币需求、投机货币需求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掌握：货币需求的影响因素、主要货币需求理论的基本观点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应用：我国货币需求的特点及影响因素</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货币供给</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商业银行货币创造的原理和模型、货币供给的概念、过程与影响因素</w:t>
      </w:r>
      <w:r w:rsidRPr="00181BE0">
        <w:rPr>
          <w:rFonts w:ascii="仿宋_GB2312" w:eastAsia="仿宋_GB2312" w:hAnsi="宋体" w:cs="仿宋_GB2312"/>
          <w:sz w:val="32"/>
          <w:szCs w:val="32"/>
        </w:rPr>
        <w:t xml:space="preserve">  </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识记：货币外生性、货币内生性、基础货币、货币乘数</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掌握：商业银行货币创造的原理与过程、中央银行与基础货币、货币乘数与货币供给、货币供给的影响因素</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应用：举例说明商业银行货币创造的过程及影响因素</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第十一章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通货膨胀与通货紧缩</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通货膨胀的度量与分类，通货膨胀的成因、经济效应与治理，通货紧缩的标准、成因与治理</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识记：通货膨胀、通货紧缩、收入指数化政策</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掌握：通货膨胀和通货紧缩的度量、成因、经济效应与治理对策</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应用：对我国现阶段宏观经济形势的分析</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第十二章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货币政策</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考核知识点：</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货币政策概念、体系及目标构成，货币政策工具的种类及作用，货币政策传导机制及基本理论、货币政策时滞与效应</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考核要求：</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识记：货币政策、菲利普斯曲线、法定准备金率、托宾</w:t>
      </w:r>
      <w:r w:rsidRPr="00181BE0">
        <w:rPr>
          <w:rFonts w:ascii="仿宋_GB2312" w:eastAsia="仿宋_GB2312" w:hAnsi="宋体" w:cs="仿宋_GB2312"/>
          <w:sz w:val="32"/>
          <w:szCs w:val="32"/>
        </w:rPr>
        <w:t>q</w:t>
      </w:r>
      <w:r w:rsidRPr="00181BE0">
        <w:rPr>
          <w:rFonts w:ascii="仿宋_GB2312" w:eastAsia="仿宋_GB2312" w:hAnsi="宋体" w:cs="仿宋_GB2312" w:hint="eastAsia"/>
          <w:sz w:val="32"/>
          <w:szCs w:val="32"/>
        </w:rPr>
        <w:t>理论</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掌握：货币政策目标、货币政策工具的种类、主要货币政策工具的特点、货币政策传导机制与政策效应</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应用：我国货币政策运用的特点及其有效性分析</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第十三章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金融发展与金融创新（不考）</w:t>
      </w:r>
    </w:p>
    <w:p w:rsidR="005B1500" w:rsidRPr="00181BE0" w:rsidRDefault="005B1500" w:rsidP="00BA105F">
      <w:pPr>
        <w:spacing w:beforeLines="50" w:line="360" w:lineRule="auto"/>
        <w:ind w:firstLineChars="200" w:firstLine="31680"/>
        <w:jc w:val="center"/>
        <w:rPr>
          <w:rFonts w:ascii="仿宋_GB2312" w:eastAsia="仿宋_GB2312"/>
          <w:sz w:val="32"/>
          <w:szCs w:val="32"/>
        </w:rPr>
      </w:pPr>
      <w:r w:rsidRPr="00181BE0">
        <w:rPr>
          <w:rFonts w:ascii="仿宋_GB2312" w:eastAsia="仿宋_GB2312" w:hAnsi="宋体" w:cs="仿宋_GB2312" w:hint="eastAsia"/>
          <w:sz w:val="32"/>
          <w:szCs w:val="32"/>
        </w:rPr>
        <w:t>第十四章</w:t>
      </w:r>
      <w:r w:rsidRPr="00181BE0">
        <w:rPr>
          <w:rFonts w:ascii="仿宋_GB2312" w:eastAsia="仿宋_GB2312" w:hAnsi="宋体" w:cs="仿宋_GB2312"/>
          <w:sz w:val="32"/>
          <w:szCs w:val="32"/>
        </w:rPr>
        <w:t xml:space="preserve"> </w:t>
      </w:r>
      <w:r w:rsidRPr="00181BE0">
        <w:rPr>
          <w:rFonts w:ascii="仿宋_GB2312" w:eastAsia="仿宋_GB2312" w:hAnsi="宋体" w:cs="仿宋_GB2312" w:hint="eastAsia"/>
          <w:sz w:val="32"/>
          <w:szCs w:val="32"/>
        </w:rPr>
        <w:t>金融风险与金融监管（不考）</w:t>
      </w:r>
    </w:p>
    <w:p w:rsidR="005B1500" w:rsidRPr="006F7597" w:rsidRDefault="005B1500" w:rsidP="00EB077B">
      <w:pPr>
        <w:spacing w:beforeLines="50" w:line="360" w:lineRule="auto"/>
        <w:rPr>
          <w:rFonts w:ascii="仿宋_GB2312" w:eastAsia="仿宋_GB2312" w:hAnsi="黑体"/>
          <w:b/>
          <w:bCs/>
          <w:sz w:val="32"/>
          <w:szCs w:val="32"/>
        </w:rPr>
      </w:pPr>
      <w:r w:rsidRPr="006F7597">
        <w:rPr>
          <w:rFonts w:ascii="仿宋_GB2312" w:eastAsia="仿宋_GB2312" w:hAnsi="黑体" w:cs="仿宋_GB2312" w:hint="eastAsia"/>
          <w:b/>
          <w:bCs/>
          <w:sz w:val="32"/>
          <w:szCs w:val="32"/>
        </w:rPr>
        <w:t>三、考试题型和分值结构（</w:t>
      </w:r>
      <w:r w:rsidRPr="006F7597">
        <w:rPr>
          <w:rFonts w:ascii="仿宋_GB2312" w:eastAsia="仿宋_GB2312" w:hAnsi="黑体" w:cs="仿宋_GB2312"/>
          <w:b/>
          <w:bCs/>
          <w:sz w:val="32"/>
          <w:szCs w:val="32"/>
        </w:rPr>
        <w:t>100</w:t>
      </w:r>
      <w:r w:rsidRPr="006F7597">
        <w:rPr>
          <w:rFonts w:ascii="仿宋_GB2312" w:eastAsia="仿宋_GB2312" w:hAnsi="黑体" w:cs="仿宋_GB2312" w:hint="eastAsia"/>
          <w:b/>
          <w:bCs/>
          <w:sz w:val="32"/>
          <w:szCs w:val="32"/>
        </w:rPr>
        <w:t>分）</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sz w:val="32"/>
          <w:szCs w:val="32"/>
        </w:rPr>
        <w:t>1</w:t>
      </w:r>
      <w:r w:rsidRPr="00181BE0">
        <w:rPr>
          <w:rFonts w:ascii="仿宋_GB2312" w:eastAsia="仿宋_GB2312" w:hAnsi="宋体" w:cs="仿宋_GB2312" w:hint="eastAsia"/>
          <w:sz w:val="32"/>
          <w:szCs w:val="32"/>
        </w:rPr>
        <w:t>、试卷的题型结构与分值结构</w:t>
      </w:r>
    </w:p>
    <w:p w:rsidR="005B1500" w:rsidRPr="00181BE0" w:rsidRDefault="005B1500" w:rsidP="00BA105F">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本课程考试采用的题型为：名词解释</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、单项选择题</w:t>
      </w:r>
      <w:r w:rsidRPr="00181BE0">
        <w:rPr>
          <w:rFonts w:ascii="仿宋_GB2312" w:eastAsia="仿宋_GB2312" w:hAnsi="宋体" w:cs="仿宋_GB2312"/>
          <w:sz w:val="32"/>
          <w:szCs w:val="32"/>
        </w:rPr>
        <w:t>10%</w:t>
      </w:r>
      <w:r w:rsidRPr="00181BE0">
        <w:rPr>
          <w:rFonts w:ascii="仿宋_GB2312" w:eastAsia="仿宋_GB2312" w:hAnsi="宋体" w:cs="仿宋_GB2312" w:hint="eastAsia"/>
          <w:sz w:val="32"/>
          <w:szCs w:val="32"/>
        </w:rPr>
        <w:t>、多项选择题</w:t>
      </w:r>
      <w:r w:rsidRPr="00181BE0">
        <w:rPr>
          <w:rFonts w:ascii="仿宋_GB2312" w:eastAsia="仿宋_GB2312" w:hAnsi="宋体" w:cs="仿宋_GB2312"/>
          <w:sz w:val="32"/>
          <w:szCs w:val="32"/>
        </w:rPr>
        <w:t>20%</w:t>
      </w:r>
      <w:r w:rsidRPr="00181BE0">
        <w:rPr>
          <w:rFonts w:ascii="仿宋_GB2312" w:eastAsia="仿宋_GB2312" w:hAnsi="宋体" w:cs="仿宋_GB2312" w:hint="eastAsia"/>
          <w:sz w:val="32"/>
          <w:szCs w:val="32"/>
        </w:rPr>
        <w:t>、判断题</w:t>
      </w:r>
      <w:r w:rsidRPr="00181BE0">
        <w:rPr>
          <w:rFonts w:ascii="仿宋_GB2312" w:eastAsia="仿宋_GB2312" w:hAnsi="宋体" w:cs="仿宋_GB2312"/>
          <w:sz w:val="32"/>
          <w:szCs w:val="32"/>
        </w:rPr>
        <w:t>10%</w:t>
      </w:r>
      <w:r w:rsidRPr="00181BE0">
        <w:rPr>
          <w:rFonts w:ascii="仿宋_GB2312" w:eastAsia="仿宋_GB2312" w:hAnsi="宋体" w:cs="仿宋_GB2312" w:hint="eastAsia"/>
          <w:sz w:val="32"/>
          <w:szCs w:val="32"/>
        </w:rPr>
        <w:t>、计算题</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、问答题</w:t>
      </w:r>
      <w:r w:rsidRPr="00181BE0">
        <w:rPr>
          <w:rFonts w:ascii="仿宋_GB2312" w:eastAsia="仿宋_GB2312" w:hAnsi="宋体" w:cs="仿宋_GB2312"/>
          <w:sz w:val="32"/>
          <w:szCs w:val="32"/>
        </w:rPr>
        <w:t>30%</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sz w:val="32"/>
          <w:szCs w:val="32"/>
        </w:rPr>
        <w:t>2.</w:t>
      </w:r>
      <w:r w:rsidRPr="00181BE0">
        <w:rPr>
          <w:rFonts w:ascii="仿宋_GB2312" w:eastAsia="仿宋_GB2312" w:hAnsi="宋体" w:cs="仿宋_GB2312" w:hint="eastAsia"/>
          <w:sz w:val="32"/>
          <w:szCs w:val="32"/>
        </w:rPr>
        <w:t>试卷能力结构与分值结构</w:t>
      </w:r>
    </w:p>
    <w:p w:rsidR="005B1500" w:rsidRPr="00181BE0" w:rsidRDefault="005B1500" w:rsidP="00BA105F">
      <w:pPr>
        <w:spacing w:beforeLines="50"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能力考核分为“了解”、“理解”、“应用”和“综合应用”四个层次，考核不同能力层次的试题在试卷中分数比例为：“了解”约占</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，“理解”约占</w:t>
      </w:r>
      <w:r w:rsidRPr="00181BE0">
        <w:rPr>
          <w:rFonts w:ascii="仿宋_GB2312" w:eastAsia="仿宋_GB2312" w:hAnsi="宋体" w:cs="仿宋_GB2312"/>
          <w:sz w:val="32"/>
          <w:szCs w:val="32"/>
        </w:rPr>
        <w:t>50%</w:t>
      </w:r>
      <w:r w:rsidRPr="00181BE0">
        <w:rPr>
          <w:rFonts w:ascii="仿宋_GB2312" w:eastAsia="仿宋_GB2312" w:hAnsi="宋体" w:cs="仿宋_GB2312" w:hint="eastAsia"/>
          <w:sz w:val="32"/>
          <w:szCs w:val="32"/>
        </w:rPr>
        <w:t>，“应用”约占</w:t>
      </w:r>
      <w:r w:rsidRPr="00181BE0">
        <w:rPr>
          <w:rFonts w:ascii="仿宋_GB2312" w:eastAsia="仿宋_GB2312" w:hAnsi="宋体" w:cs="仿宋_GB2312"/>
          <w:sz w:val="32"/>
          <w:szCs w:val="32"/>
        </w:rPr>
        <w:t>20%</w:t>
      </w:r>
      <w:r w:rsidRPr="00181BE0">
        <w:rPr>
          <w:rFonts w:ascii="仿宋_GB2312" w:eastAsia="仿宋_GB2312" w:hAnsi="宋体" w:cs="仿宋_GB2312" w:hint="eastAsia"/>
          <w:sz w:val="32"/>
          <w:szCs w:val="32"/>
        </w:rPr>
        <w:t>，“综合应用”约占</w:t>
      </w:r>
      <w:r w:rsidRPr="00181BE0">
        <w:rPr>
          <w:rFonts w:ascii="仿宋_GB2312" w:eastAsia="仿宋_GB2312" w:hAnsi="宋体" w:cs="仿宋_GB2312"/>
          <w:sz w:val="32"/>
          <w:szCs w:val="32"/>
        </w:rPr>
        <w:t>15%</w:t>
      </w:r>
      <w:r w:rsidRPr="00181BE0">
        <w:rPr>
          <w:rFonts w:ascii="仿宋_GB2312" w:eastAsia="仿宋_GB2312" w:hAnsi="宋体" w:cs="仿宋_GB2312" w:hint="eastAsia"/>
          <w:sz w:val="32"/>
          <w:szCs w:val="32"/>
        </w:rPr>
        <w:t>。</w:t>
      </w:r>
    </w:p>
    <w:p w:rsidR="005B1500" w:rsidRPr="00181BE0" w:rsidRDefault="005B1500" w:rsidP="00EB077B">
      <w:pPr>
        <w:spacing w:beforeLines="50" w:line="360" w:lineRule="auto"/>
        <w:rPr>
          <w:rFonts w:ascii="仿宋_GB2312" w:eastAsia="仿宋_GB2312"/>
          <w:b/>
          <w:bCs/>
          <w:sz w:val="32"/>
          <w:szCs w:val="32"/>
        </w:rPr>
      </w:pPr>
      <w:r w:rsidRPr="00181BE0">
        <w:rPr>
          <w:rFonts w:ascii="仿宋_GB2312" w:eastAsia="仿宋_GB2312" w:hAnsi="宋体" w:cs="仿宋_GB2312" w:hint="eastAsia"/>
          <w:b/>
          <w:bCs/>
          <w:sz w:val="32"/>
          <w:szCs w:val="32"/>
        </w:rPr>
        <w:t>四、考试形式</w:t>
      </w:r>
    </w:p>
    <w:p w:rsidR="005B1500" w:rsidRPr="00181BE0" w:rsidRDefault="005B1500" w:rsidP="00BA105F">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笔试（闭卷）</w:t>
      </w:r>
    </w:p>
    <w:p w:rsidR="005B1500" w:rsidRPr="00181BE0" w:rsidRDefault="005B1500" w:rsidP="00EB077B">
      <w:pPr>
        <w:spacing w:beforeLines="50" w:line="360" w:lineRule="auto"/>
        <w:rPr>
          <w:rFonts w:ascii="仿宋_GB2312" w:eastAsia="仿宋_GB2312"/>
          <w:b/>
          <w:bCs/>
          <w:sz w:val="32"/>
          <w:szCs w:val="32"/>
        </w:rPr>
      </w:pPr>
      <w:r w:rsidRPr="00181BE0">
        <w:rPr>
          <w:rFonts w:ascii="仿宋_GB2312" w:eastAsia="仿宋_GB2312" w:hAnsi="宋体" w:cs="仿宋_GB2312" w:hint="eastAsia"/>
          <w:b/>
          <w:bCs/>
          <w:sz w:val="32"/>
          <w:szCs w:val="32"/>
        </w:rPr>
        <w:t>五、考试时间</w:t>
      </w:r>
    </w:p>
    <w:p w:rsidR="005B1500" w:rsidRPr="00181BE0" w:rsidRDefault="005B1500" w:rsidP="00BA105F">
      <w:pPr>
        <w:spacing w:line="360" w:lineRule="auto"/>
        <w:ind w:firstLineChars="200" w:firstLine="31680"/>
        <w:rPr>
          <w:rFonts w:ascii="仿宋_GB2312" w:eastAsia="仿宋_GB2312"/>
          <w:sz w:val="32"/>
          <w:szCs w:val="32"/>
        </w:rPr>
      </w:pPr>
      <w:r w:rsidRPr="00181BE0">
        <w:rPr>
          <w:rFonts w:ascii="仿宋_GB2312" w:eastAsia="仿宋_GB2312" w:hAnsi="宋体" w:cs="仿宋_GB2312"/>
          <w:sz w:val="32"/>
          <w:szCs w:val="32"/>
        </w:rPr>
        <w:t>90</w:t>
      </w:r>
      <w:r w:rsidRPr="00181BE0">
        <w:rPr>
          <w:rFonts w:ascii="仿宋_GB2312" w:eastAsia="仿宋_GB2312" w:hAnsi="宋体" w:cs="仿宋_GB2312" w:hint="eastAsia"/>
          <w:sz w:val="32"/>
          <w:szCs w:val="32"/>
        </w:rPr>
        <w:t>分钟</w:t>
      </w:r>
    </w:p>
    <w:p w:rsidR="005B1500" w:rsidRPr="00181BE0" w:rsidRDefault="005B1500" w:rsidP="00EB077B">
      <w:pPr>
        <w:spacing w:beforeLines="50" w:line="360" w:lineRule="auto"/>
        <w:rPr>
          <w:rFonts w:ascii="仿宋_GB2312" w:eastAsia="仿宋_GB2312"/>
          <w:b/>
          <w:bCs/>
          <w:sz w:val="32"/>
          <w:szCs w:val="32"/>
        </w:rPr>
      </w:pPr>
      <w:r w:rsidRPr="00181BE0">
        <w:rPr>
          <w:rFonts w:ascii="仿宋_GB2312" w:eastAsia="仿宋_GB2312" w:hAnsi="宋体" w:cs="仿宋_GB2312" w:hint="eastAsia"/>
          <w:b/>
          <w:bCs/>
          <w:sz w:val="32"/>
          <w:szCs w:val="32"/>
        </w:rPr>
        <w:t>六、主要参考书目</w:t>
      </w:r>
    </w:p>
    <w:p w:rsidR="005B1500" w:rsidRPr="00181BE0" w:rsidRDefault="005B1500" w:rsidP="00BA105F">
      <w:pPr>
        <w:spacing w:line="360" w:lineRule="auto"/>
        <w:ind w:firstLineChars="200" w:firstLine="31680"/>
        <w:rPr>
          <w:rFonts w:ascii="仿宋_GB2312" w:eastAsia="仿宋_GB2312"/>
          <w:sz w:val="32"/>
          <w:szCs w:val="32"/>
        </w:rPr>
      </w:pPr>
      <w:r w:rsidRPr="00181BE0">
        <w:rPr>
          <w:rFonts w:ascii="仿宋_GB2312" w:eastAsia="仿宋_GB2312" w:hAnsi="宋体" w:cs="仿宋_GB2312" w:hint="eastAsia"/>
          <w:sz w:val="32"/>
          <w:szCs w:val="32"/>
        </w:rPr>
        <w:t>李俊芸主编，《金融学》，中国人民大学出版社，</w:t>
      </w:r>
      <w:r w:rsidRPr="00181BE0">
        <w:rPr>
          <w:rFonts w:ascii="仿宋_GB2312" w:eastAsia="仿宋_GB2312" w:hAnsi="宋体" w:cs="仿宋_GB2312"/>
          <w:sz w:val="32"/>
          <w:szCs w:val="32"/>
        </w:rPr>
        <w:t>2016.8</w:t>
      </w:r>
    </w:p>
    <w:p w:rsidR="005B1500" w:rsidRPr="00181BE0" w:rsidRDefault="005B1500" w:rsidP="00BA105F">
      <w:pPr>
        <w:spacing w:beforeLines="50" w:line="360" w:lineRule="auto"/>
        <w:ind w:firstLineChars="200" w:firstLine="31680"/>
        <w:jc w:val="center"/>
        <w:rPr>
          <w:rFonts w:ascii="仿宋_GB2312" w:eastAsia="仿宋_GB2312"/>
          <w:sz w:val="32"/>
          <w:szCs w:val="32"/>
        </w:rPr>
      </w:pPr>
    </w:p>
    <w:p w:rsidR="005B1500" w:rsidRPr="00181BE0" w:rsidRDefault="005B1500" w:rsidP="00986D18">
      <w:pPr>
        <w:snapToGrid w:val="0"/>
        <w:spacing w:line="360" w:lineRule="auto"/>
        <w:ind w:firstLineChars="150" w:firstLine="31680"/>
        <w:jc w:val="left"/>
        <w:rPr>
          <w:rFonts w:ascii="仿宋_GB2312" w:eastAsia="仿宋_GB2312"/>
          <w:sz w:val="32"/>
          <w:szCs w:val="32"/>
        </w:rPr>
      </w:pPr>
    </w:p>
    <w:sectPr w:rsidR="005B1500" w:rsidRPr="00181BE0" w:rsidSect="00DF13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500" w:rsidRDefault="005B1500" w:rsidP="00E23BB6">
      <w:r>
        <w:separator/>
      </w:r>
    </w:p>
  </w:endnote>
  <w:endnote w:type="continuationSeparator" w:id="0">
    <w:p w:rsidR="005B1500" w:rsidRDefault="005B1500" w:rsidP="00E23B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500" w:rsidRDefault="005B1500" w:rsidP="00E23BB6">
      <w:r>
        <w:separator/>
      </w:r>
    </w:p>
  </w:footnote>
  <w:footnote w:type="continuationSeparator" w:id="0">
    <w:p w:rsidR="005B1500" w:rsidRDefault="005B1500" w:rsidP="00E23B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chineseCounting"/>
      <w:suff w:val="nothing"/>
      <w:lvlText w:val="%1、"/>
      <w:lvlJc w:val="left"/>
    </w:lvl>
  </w:abstractNum>
  <w:abstractNum w:abstractNumId="1">
    <w:nsid w:val="1B1E1003"/>
    <w:multiLevelType w:val="hybridMultilevel"/>
    <w:tmpl w:val="12489EB6"/>
    <w:lvl w:ilvl="0" w:tplc="60DA08AC">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BB6"/>
    <w:rsid w:val="000765BF"/>
    <w:rsid w:val="00076AEF"/>
    <w:rsid w:val="00086AF3"/>
    <w:rsid w:val="00181BE0"/>
    <w:rsid w:val="00234E94"/>
    <w:rsid w:val="0031014B"/>
    <w:rsid w:val="00321A4A"/>
    <w:rsid w:val="00382E7B"/>
    <w:rsid w:val="003A2EA8"/>
    <w:rsid w:val="003D3269"/>
    <w:rsid w:val="00475537"/>
    <w:rsid w:val="004867ED"/>
    <w:rsid w:val="004D0862"/>
    <w:rsid w:val="00510B3E"/>
    <w:rsid w:val="005618F5"/>
    <w:rsid w:val="00567510"/>
    <w:rsid w:val="005B1500"/>
    <w:rsid w:val="00601086"/>
    <w:rsid w:val="006037C0"/>
    <w:rsid w:val="00625A8E"/>
    <w:rsid w:val="00662DA6"/>
    <w:rsid w:val="006D7C2D"/>
    <w:rsid w:val="006F7597"/>
    <w:rsid w:val="0071200D"/>
    <w:rsid w:val="00786E03"/>
    <w:rsid w:val="007A140B"/>
    <w:rsid w:val="007B5D28"/>
    <w:rsid w:val="007C2DA8"/>
    <w:rsid w:val="007D68ED"/>
    <w:rsid w:val="007E129C"/>
    <w:rsid w:val="008F5D86"/>
    <w:rsid w:val="009141A6"/>
    <w:rsid w:val="009248E5"/>
    <w:rsid w:val="00986D18"/>
    <w:rsid w:val="00A16F94"/>
    <w:rsid w:val="00AC4AE9"/>
    <w:rsid w:val="00AE3751"/>
    <w:rsid w:val="00AF3FB9"/>
    <w:rsid w:val="00B63D1D"/>
    <w:rsid w:val="00BA105F"/>
    <w:rsid w:val="00CE1FD1"/>
    <w:rsid w:val="00DF139E"/>
    <w:rsid w:val="00E23BB6"/>
    <w:rsid w:val="00E959B4"/>
    <w:rsid w:val="00EB077B"/>
    <w:rsid w:val="00EC1DBC"/>
    <w:rsid w:val="00F05679"/>
    <w:rsid w:val="00F23D57"/>
    <w:rsid w:val="00F337D8"/>
    <w:rsid w:val="00F9547C"/>
    <w:rsid w:val="00FB1AC5"/>
    <w:rsid w:val="00FE72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BB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23BB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23BB6"/>
    <w:rPr>
      <w:sz w:val="18"/>
      <w:szCs w:val="18"/>
    </w:rPr>
  </w:style>
  <w:style w:type="paragraph" w:styleId="Footer">
    <w:name w:val="footer"/>
    <w:basedOn w:val="Normal"/>
    <w:link w:val="FooterChar"/>
    <w:uiPriority w:val="99"/>
    <w:semiHidden/>
    <w:rsid w:val="00E23BB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23BB6"/>
    <w:rPr>
      <w:sz w:val="18"/>
      <w:szCs w:val="18"/>
    </w:rPr>
  </w:style>
  <w:style w:type="paragraph" w:styleId="ListParagraph">
    <w:name w:val="List Paragraph"/>
    <w:basedOn w:val="Normal"/>
    <w:uiPriority w:val="99"/>
    <w:qFormat/>
    <w:rsid w:val="00EC1DBC"/>
    <w:pPr>
      <w:ind w:firstLineChars="200" w:firstLine="420"/>
    </w:pPr>
  </w:style>
  <w:style w:type="character" w:customStyle="1" w:styleId="apple-converted-space">
    <w:name w:val="apple-converted-space"/>
    <w:basedOn w:val="DefaultParagraphFont"/>
    <w:uiPriority w:val="99"/>
    <w:rsid w:val="00EC1DB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9</Pages>
  <Words>418</Words>
  <Characters>2388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刘桢</cp:lastModifiedBy>
  <cp:revision>34</cp:revision>
  <dcterms:created xsi:type="dcterms:W3CDTF">2018-03-24T06:09:00Z</dcterms:created>
  <dcterms:modified xsi:type="dcterms:W3CDTF">2018-03-30T00:53:00Z</dcterms:modified>
</cp:coreProperties>
</file>